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20140" w14:textId="2726FC1B" w:rsidR="005E0AE8" w:rsidRPr="006530D3" w:rsidRDefault="00810AED" w:rsidP="006530D3">
      <w:pPr>
        <w:pStyle w:val="Title"/>
        <w:spacing w:before="0"/>
        <w:rPr>
          <w:sz w:val="24"/>
        </w:rPr>
      </w:pPr>
      <w:r w:rsidRPr="006530D3">
        <w:rPr>
          <w:sz w:val="24"/>
        </w:rPr>
        <w:t>General Compliments, Complaints and Appeals</w:t>
      </w:r>
      <w:r w:rsidR="0041484D" w:rsidRPr="006530D3">
        <w:rPr>
          <w:sz w:val="24"/>
        </w:rPr>
        <w:t xml:space="preserve"> Policy</w:t>
      </w:r>
    </w:p>
    <w:p w14:paraId="71F6A985" w14:textId="77777777" w:rsidR="00CD19FA" w:rsidRPr="001F398C" w:rsidRDefault="006A1D8A" w:rsidP="00DA3FA7">
      <w:pPr>
        <w:pStyle w:val="Heading1"/>
        <w:numPr>
          <w:ilvl w:val="0"/>
          <w:numId w:val="28"/>
        </w:numPr>
        <w:ind w:left="426" w:hanging="426"/>
      </w:pPr>
      <w:r w:rsidRPr="001F398C">
        <w:t>Scope</w:t>
      </w:r>
    </w:p>
    <w:p w14:paraId="06B27D71" w14:textId="3CAC871D" w:rsidR="001F398C" w:rsidRDefault="006A1D8A" w:rsidP="006530D3">
      <w:pPr>
        <w:rPr>
          <w:b/>
        </w:rPr>
      </w:pPr>
      <w:r>
        <w:t>This policy spans all aspects of service deliv</w:t>
      </w:r>
      <w:r w:rsidR="009B4769">
        <w:t>ery by Common Ground Queensland and</w:t>
      </w:r>
      <w:r>
        <w:t xml:space="preserve"> applies to all </w:t>
      </w:r>
      <w:r w:rsidR="006C6D0C">
        <w:t>tenancy and property management</w:t>
      </w:r>
      <w:r>
        <w:t xml:space="preserve"> of</w:t>
      </w:r>
      <w:r w:rsidR="009B4769">
        <w:t xml:space="preserve"> Common Ground </w:t>
      </w:r>
      <w:r w:rsidR="00A16E7F">
        <w:t xml:space="preserve">Queensland </w:t>
      </w:r>
      <w:r w:rsidR="00173CF2">
        <w:t>managed b</w:t>
      </w:r>
      <w:r w:rsidR="009B4769">
        <w:t>uilding</w:t>
      </w:r>
      <w:r w:rsidR="00173CF2">
        <w:t>s</w:t>
      </w:r>
      <w:r w:rsidR="006C6D0C">
        <w:t xml:space="preserve"> th</w:t>
      </w:r>
      <w:r w:rsidR="006C6D0C" w:rsidRPr="00881A8A">
        <w:t xml:space="preserve">at </w:t>
      </w:r>
      <w:r w:rsidR="00B72AE0" w:rsidRPr="00881A8A">
        <w:t>affect</w:t>
      </w:r>
      <w:r w:rsidR="006C6D0C">
        <w:t xml:space="preserve"> people other than tenants</w:t>
      </w:r>
      <w:r w:rsidR="009B4769">
        <w:t xml:space="preserve">.  </w:t>
      </w:r>
    </w:p>
    <w:p w14:paraId="088316D8" w14:textId="77777777" w:rsidR="001F398C" w:rsidRPr="007573A6" w:rsidRDefault="001F398C" w:rsidP="00DA3FA7">
      <w:pPr>
        <w:pStyle w:val="Heading1"/>
        <w:numPr>
          <w:ilvl w:val="0"/>
          <w:numId w:val="28"/>
        </w:numPr>
        <w:ind w:left="426" w:hanging="426"/>
      </w:pPr>
      <w:r w:rsidRPr="001F398C">
        <w:t>Policy</w:t>
      </w:r>
    </w:p>
    <w:p w14:paraId="0C7CBA5D" w14:textId="0C2CA69E" w:rsidR="006904CF" w:rsidRDefault="004A5A4D" w:rsidP="006530D3">
      <w:r w:rsidRPr="00F13AB4">
        <w:t xml:space="preserve">Common Ground Queensland is committed to facilitating </w:t>
      </w:r>
      <w:r w:rsidR="006C6D0C">
        <w:t>the</w:t>
      </w:r>
      <w:r w:rsidRPr="00F13AB4">
        <w:t xml:space="preserve"> right </w:t>
      </w:r>
      <w:r w:rsidR="00CE4B35">
        <w:t xml:space="preserve">for </w:t>
      </w:r>
      <w:r w:rsidR="00B9073A">
        <w:t xml:space="preserve">all persons or groups that interact with Common Ground Queensland </w:t>
      </w:r>
      <w:r w:rsidRPr="00F13AB4">
        <w:t xml:space="preserve">to </w:t>
      </w:r>
      <w:r w:rsidR="00760058">
        <w:t xml:space="preserve">raise </w:t>
      </w:r>
      <w:r w:rsidR="00E63B53">
        <w:t>concerns</w:t>
      </w:r>
      <w:r w:rsidR="00986F79">
        <w:t xml:space="preserve"> </w:t>
      </w:r>
      <w:r w:rsidR="00760058">
        <w:t xml:space="preserve">or register their positive experiences about our service and </w:t>
      </w:r>
      <w:r w:rsidR="0083255D" w:rsidRPr="00F13AB4">
        <w:t xml:space="preserve">to </w:t>
      </w:r>
      <w:r w:rsidR="00E63B53">
        <w:t>appeal</w:t>
      </w:r>
      <w:r w:rsidRPr="00F13AB4">
        <w:t xml:space="preserve"> a decision we have made that directly </w:t>
      </w:r>
      <w:r w:rsidR="00760058">
        <w:t>affects</w:t>
      </w:r>
      <w:r w:rsidRPr="00F13AB4">
        <w:t xml:space="preserve"> them</w:t>
      </w:r>
      <w:r w:rsidR="00760058">
        <w:t>.</w:t>
      </w:r>
    </w:p>
    <w:p w14:paraId="28063BDB" w14:textId="77777777" w:rsidR="009E6B19" w:rsidRPr="004A5A4D" w:rsidRDefault="0065465A" w:rsidP="006530D3">
      <w:r>
        <w:t>Common Ground Queensland is</w:t>
      </w:r>
      <w:r w:rsidR="004A5A4D" w:rsidRPr="004A5A4D">
        <w:t xml:space="preserve"> committed to having pr</w:t>
      </w:r>
      <w:r w:rsidR="004A5A4D">
        <w:t xml:space="preserve">ocesses for managing </w:t>
      </w:r>
      <w:r w:rsidR="00D46A51">
        <w:t>issues</w:t>
      </w:r>
      <w:r w:rsidR="004A5A4D" w:rsidRPr="004A5A4D">
        <w:t xml:space="preserve"> that are legal, ethical, consistent</w:t>
      </w:r>
      <w:r w:rsidR="009E6B19">
        <w:t xml:space="preserve"> and systematic. This includes:</w:t>
      </w:r>
    </w:p>
    <w:p w14:paraId="123311A2" w14:textId="77777777" w:rsidR="004A5A4D" w:rsidRPr="004A5A4D" w:rsidRDefault="006C6D0C" w:rsidP="006530D3">
      <w:pPr>
        <w:pStyle w:val="ListParagraph"/>
        <w:numPr>
          <w:ilvl w:val="0"/>
          <w:numId w:val="14"/>
        </w:numPr>
      </w:pPr>
      <w:r>
        <w:t>Providing information</w:t>
      </w:r>
      <w:r w:rsidR="0083255D">
        <w:t xml:space="preserve"> about how to make </w:t>
      </w:r>
      <w:r w:rsidR="005E0AE8">
        <w:t xml:space="preserve">compliments, complaints and appeals </w:t>
      </w:r>
      <w:r w:rsidR="0083255D">
        <w:t>known to appropriate staff</w:t>
      </w:r>
      <w:r w:rsidR="004A5A4D" w:rsidRPr="004A5A4D">
        <w:t xml:space="preserve">, using either </w:t>
      </w:r>
      <w:r w:rsidR="006904CF">
        <w:t xml:space="preserve">internal or external </w:t>
      </w:r>
      <w:proofErr w:type="gramStart"/>
      <w:r w:rsidR="006904CF">
        <w:t>mechanisms</w:t>
      </w:r>
      <w:r w:rsidR="00986F79">
        <w:t>;</w:t>
      </w:r>
      <w:proofErr w:type="gramEnd"/>
    </w:p>
    <w:p w14:paraId="4C383BDB" w14:textId="77777777" w:rsidR="00BA75FE" w:rsidRDefault="00BA75FE" w:rsidP="006530D3">
      <w:pPr>
        <w:pStyle w:val="ListParagraph"/>
        <w:numPr>
          <w:ilvl w:val="0"/>
          <w:numId w:val="14"/>
        </w:numPr>
      </w:pPr>
      <w:r>
        <w:t xml:space="preserve">Addressing </w:t>
      </w:r>
      <w:r w:rsidR="005E0AE8">
        <w:t>complaints and appeals</w:t>
      </w:r>
      <w:r>
        <w:t xml:space="preserve"> confidentially and objectively and in a timely and culturally appropriate </w:t>
      </w:r>
      <w:proofErr w:type="gramStart"/>
      <w:r>
        <w:t>manner;</w:t>
      </w:r>
      <w:proofErr w:type="gramEnd"/>
    </w:p>
    <w:p w14:paraId="245D2FC1" w14:textId="77777777" w:rsidR="00BA75FE" w:rsidRDefault="00BA75FE" w:rsidP="006530D3">
      <w:pPr>
        <w:pStyle w:val="ListParagraph"/>
        <w:numPr>
          <w:ilvl w:val="0"/>
          <w:numId w:val="14"/>
        </w:numPr>
      </w:pPr>
      <w:r>
        <w:t>Ensuring support and advocacy is available</w:t>
      </w:r>
      <w:r w:rsidRPr="00BA75FE">
        <w:t xml:space="preserve"> </w:t>
      </w:r>
      <w:r>
        <w:t xml:space="preserve">to those who raise a </w:t>
      </w:r>
      <w:r w:rsidR="005E0AE8">
        <w:t>complaint</w:t>
      </w:r>
      <w:r>
        <w:t xml:space="preserve"> or question</w:t>
      </w:r>
      <w:r w:rsidRPr="004A5A4D">
        <w:t xml:space="preserve"> a decision</w:t>
      </w:r>
      <w:r>
        <w:t xml:space="preserve">, if </w:t>
      </w:r>
      <w:proofErr w:type="gramStart"/>
      <w:r>
        <w:t>required;</w:t>
      </w:r>
      <w:proofErr w:type="gramEnd"/>
    </w:p>
    <w:p w14:paraId="25FDC7DF" w14:textId="77777777" w:rsidR="00BA75FE" w:rsidRPr="004A5A4D" w:rsidRDefault="00BA75FE" w:rsidP="006530D3">
      <w:pPr>
        <w:pStyle w:val="ListParagraph"/>
        <w:numPr>
          <w:ilvl w:val="0"/>
          <w:numId w:val="14"/>
        </w:numPr>
      </w:pPr>
      <w:r>
        <w:t>Advising</w:t>
      </w:r>
      <w:r w:rsidRPr="004A5A4D">
        <w:t xml:space="preserve"> </w:t>
      </w:r>
      <w:r>
        <w:t xml:space="preserve">complainants </w:t>
      </w:r>
      <w:r w:rsidRPr="004A5A4D">
        <w:t>of</w:t>
      </w:r>
      <w:r>
        <w:t xml:space="preserve"> the outcomes of </w:t>
      </w:r>
      <w:r w:rsidR="005E0AE8">
        <w:t xml:space="preserve">their formal complaints </w:t>
      </w:r>
      <w:r>
        <w:t xml:space="preserve">or </w:t>
      </w:r>
      <w:r w:rsidR="00B9073A">
        <w:t>appeals</w:t>
      </w:r>
      <w:r w:rsidR="002D1015">
        <w:t xml:space="preserve"> (in writing whenever possible</w:t>
      </w:r>
      <w:proofErr w:type="gramStart"/>
      <w:r w:rsidR="002D1015">
        <w:t>)</w:t>
      </w:r>
      <w:r>
        <w:t>;</w:t>
      </w:r>
      <w:proofErr w:type="gramEnd"/>
    </w:p>
    <w:p w14:paraId="5D713247" w14:textId="4B62A496" w:rsidR="00FE223E" w:rsidRPr="004A5A4D" w:rsidRDefault="002D1015" w:rsidP="006530D3">
      <w:pPr>
        <w:pStyle w:val="ListParagraph"/>
        <w:numPr>
          <w:ilvl w:val="0"/>
          <w:numId w:val="14"/>
        </w:numPr>
      </w:pPr>
      <w:r>
        <w:t>E</w:t>
      </w:r>
      <w:r w:rsidRPr="004A5A4D">
        <w:t xml:space="preserve">nsuring </w:t>
      </w:r>
      <w:r>
        <w:t xml:space="preserve">people </w:t>
      </w:r>
      <w:r w:rsidRPr="004A5A4D">
        <w:t>are not dis</w:t>
      </w:r>
      <w:r>
        <w:t>advantaged by raising a concern or questioning a decision; and</w:t>
      </w:r>
    </w:p>
    <w:p w14:paraId="36C5AA23" w14:textId="22F21CB5" w:rsidR="00686FEB" w:rsidRPr="00C323A8" w:rsidRDefault="00FF2F9F" w:rsidP="006530D3">
      <w:pPr>
        <w:pStyle w:val="ListParagraph"/>
        <w:numPr>
          <w:ilvl w:val="0"/>
          <w:numId w:val="14"/>
        </w:numPr>
      </w:pPr>
      <w:r>
        <w:t>E</w:t>
      </w:r>
      <w:r w:rsidR="0083255D">
        <w:t xml:space="preserve">nsuring that the outcomes of </w:t>
      </w:r>
      <w:r w:rsidR="005E0AE8">
        <w:t xml:space="preserve">formal complaints </w:t>
      </w:r>
      <w:r w:rsidR="007C2A4A">
        <w:t xml:space="preserve">and </w:t>
      </w:r>
      <w:r w:rsidR="005E0AE8">
        <w:t>appeals</w:t>
      </w:r>
      <w:r w:rsidR="004A5A4D" w:rsidRPr="004A5A4D">
        <w:t xml:space="preserve"> </w:t>
      </w:r>
      <w:r w:rsidR="0083255D">
        <w:t>become inputs to Common Ground Queensland</w:t>
      </w:r>
      <w:r w:rsidR="00986F79">
        <w:t>’s</w:t>
      </w:r>
      <w:r w:rsidR="0083255D">
        <w:t xml:space="preserve"> continuous improvement mechanisms</w:t>
      </w:r>
      <w:r w:rsidR="00D46A51">
        <w:t xml:space="preserve"> when applicable</w:t>
      </w:r>
      <w:r w:rsidR="002D1015">
        <w:t>.</w:t>
      </w:r>
    </w:p>
    <w:p w14:paraId="581CC9C5" w14:textId="77777777" w:rsidR="002D1015" w:rsidRDefault="002D1015" w:rsidP="00DA3FA7">
      <w:pPr>
        <w:pStyle w:val="Heading1"/>
        <w:numPr>
          <w:ilvl w:val="0"/>
          <w:numId w:val="28"/>
        </w:numPr>
        <w:ind w:left="426" w:hanging="426"/>
      </w:pPr>
      <w:r w:rsidRPr="0065465A">
        <w:t>Definitions</w:t>
      </w:r>
    </w:p>
    <w:p w14:paraId="2A2C54DC" w14:textId="1E18209F" w:rsidR="002D1015" w:rsidRDefault="002D1015" w:rsidP="006530D3">
      <w:r>
        <w:t xml:space="preserve">A </w:t>
      </w:r>
      <w:r w:rsidRPr="00163F6B">
        <w:rPr>
          <w:u w:val="single"/>
        </w:rPr>
        <w:t>compliment</w:t>
      </w:r>
      <w:r>
        <w:t xml:space="preserve"> is an expression of satisfaction with a service or the way the service has been delivered by staff.</w:t>
      </w:r>
    </w:p>
    <w:p w14:paraId="7D3B3119" w14:textId="0C5EDC68" w:rsidR="00C323A8" w:rsidRDefault="00C323A8" w:rsidP="006530D3">
      <w:r w:rsidRPr="00C323A8">
        <w:t xml:space="preserve">A </w:t>
      </w:r>
      <w:r w:rsidRPr="00C323A8">
        <w:rPr>
          <w:u w:val="single"/>
        </w:rPr>
        <w:t xml:space="preserve">complaint </w:t>
      </w:r>
      <w:r w:rsidRPr="00C323A8">
        <w:t>is an expression of dissatisfaction with any action, decision or quality of service lodged by a complainant or their representative that requires an official resolution or response.  It must relate to a specific occurrence or episode, including the non-delivery of service, which has an impact on the individual complainant</w:t>
      </w:r>
      <w:r w:rsidR="005E0AE8">
        <w:t xml:space="preserve">. </w:t>
      </w:r>
    </w:p>
    <w:p w14:paraId="39D5B485" w14:textId="63F26DCA" w:rsidR="002D1015" w:rsidRDefault="00C323A8" w:rsidP="006530D3">
      <w:r w:rsidRPr="00C323A8">
        <w:rPr>
          <w:u w:val="single"/>
        </w:rPr>
        <w:t>Feedback</w:t>
      </w:r>
      <w:r w:rsidRPr="00F26646">
        <w:t xml:space="preserve"> is a criticism, comment or suggestion where a response is not sought, or not reasonable to expect</w:t>
      </w:r>
    </w:p>
    <w:p w14:paraId="452D4BEC" w14:textId="43206C04" w:rsidR="00CE4BA7" w:rsidRDefault="002D1015" w:rsidP="006530D3">
      <w:pPr>
        <w:rPr>
          <w:u w:val="single"/>
        </w:rPr>
      </w:pPr>
      <w:r>
        <w:lastRenderedPageBreak/>
        <w:t xml:space="preserve">An </w:t>
      </w:r>
      <w:r w:rsidRPr="00163F6B">
        <w:rPr>
          <w:u w:val="single"/>
        </w:rPr>
        <w:t>appeal</w:t>
      </w:r>
      <w:r>
        <w:t xml:space="preserve"> </w:t>
      </w:r>
      <w:r w:rsidRPr="00163F6B">
        <w:t>is a request to have an official decision reviewed.</w:t>
      </w:r>
    </w:p>
    <w:p w14:paraId="50321DFC" w14:textId="682FF0EB" w:rsidR="009773FC" w:rsidRDefault="00C323A8" w:rsidP="006530D3">
      <w:r w:rsidRPr="00C323A8">
        <w:rPr>
          <w:u w:val="single"/>
        </w:rPr>
        <w:t>Feedback</w:t>
      </w:r>
      <w:r w:rsidRPr="006530D3">
        <w:t xml:space="preserve"> is a criticism, comment or suggestion where a response is not sought, or not reasonable to expect</w:t>
      </w:r>
      <w:r w:rsidR="009773FC">
        <w:t>.</w:t>
      </w:r>
    </w:p>
    <w:p w14:paraId="53595A34" w14:textId="4C54207A" w:rsidR="00CE4BA7" w:rsidRDefault="002D1015" w:rsidP="006530D3">
      <w:r w:rsidRPr="001A6480">
        <w:t>An</w:t>
      </w:r>
      <w:r w:rsidRPr="00163F6B">
        <w:t xml:space="preserve"> </w:t>
      </w:r>
      <w:r w:rsidRPr="00163F6B">
        <w:rPr>
          <w:u w:val="single"/>
        </w:rPr>
        <w:t>incident</w:t>
      </w:r>
      <w:r w:rsidRPr="001A6480">
        <w:t xml:space="preserve"> is an event or circumstance, which could have, or did lead to unintended and/or unnecessary harm to a person and/or loss or damage.  Incidents are identified and managed by staff (refer to </w:t>
      </w:r>
      <w:r w:rsidRPr="008F15FF">
        <w:rPr>
          <w:i/>
        </w:rPr>
        <w:t>Incident Management and Reporting Procedure</w:t>
      </w:r>
      <w:r w:rsidRPr="008F15FF">
        <w:t>).</w:t>
      </w:r>
    </w:p>
    <w:p w14:paraId="6BE59D22" w14:textId="326A91F8" w:rsidR="00CE4BA7" w:rsidRPr="006530D3" w:rsidRDefault="00CE4BA7" w:rsidP="006530D3">
      <w:r>
        <w:t>Complainant Rights</w:t>
      </w:r>
    </w:p>
    <w:p w14:paraId="4785D466" w14:textId="12AFAE64" w:rsidR="00CE4BA7" w:rsidRPr="00CE4BA7" w:rsidRDefault="00CE4BA7" w:rsidP="006530D3">
      <w:pPr>
        <w:pStyle w:val="ListParagraph"/>
        <w:numPr>
          <w:ilvl w:val="0"/>
          <w:numId w:val="26"/>
        </w:numPr>
      </w:pPr>
      <w:r w:rsidRPr="00CE4BA7">
        <w:t>Have their complaint dealt with confidentially and objectively</w:t>
      </w:r>
    </w:p>
    <w:p w14:paraId="74321B5A" w14:textId="1CE93CF6" w:rsidR="00CE4BA7" w:rsidRPr="00CE4BA7" w:rsidRDefault="00CE4BA7" w:rsidP="006530D3">
      <w:pPr>
        <w:pStyle w:val="ListParagraph"/>
        <w:numPr>
          <w:ilvl w:val="0"/>
          <w:numId w:val="26"/>
        </w:numPr>
      </w:pPr>
      <w:r w:rsidRPr="00CE4BA7">
        <w:t>Ask for help in lodging a complaint from the Support Provider or an external advocate. In this case, that organisation can contact CGQ on behalf of the tenant</w:t>
      </w:r>
    </w:p>
    <w:p w14:paraId="415044C8" w14:textId="5EDD5D23" w:rsidR="00CE4BA7" w:rsidRPr="00CE4BA7" w:rsidRDefault="00CE4BA7" w:rsidP="006530D3">
      <w:pPr>
        <w:pStyle w:val="ListParagraph"/>
        <w:numPr>
          <w:ilvl w:val="0"/>
          <w:numId w:val="26"/>
        </w:numPr>
      </w:pPr>
      <w:r w:rsidRPr="00CE4BA7">
        <w:t>Request a support person to accompany them in any meetings</w:t>
      </w:r>
    </w:p>
    <w:p w14:paraId="3F6B7483" w14:textId="05921EB8" w:rsidR="00CE4BA7" w:rsidRPr="00CE4BA7" w:rsidRDefault="00CE4BA7" w:rsidP="006530D3">
      <w:pPr>
        <w:pStyle w:val="ListParagraph"/>
        <w:numPr>
          <w:ilvl w:val="0"/>
          <w:numId w:val="26"/>
        </w:numPr>
      </w:pPr>
      <w:r w:rsidRPr="00CE4BA7">
        <w:t>Use interpreting and translating services</w:t>
      </w:r>
    </w:p>
    <w:p w14:paraId="1861A6D9" w14:textId="58EC7C99" w:rsidR="00CE4BA7" w:rsidRPr="00CE4BA7" w:rsidRDefault="00CE4BA7" w:rsidP="006530D3">
      <w:pPr>
        <w:pStyle w:val="ListParagraph"/>
        <w:numPr>
          <w:ilvl w:val="0"/>
          <w:numId w:val="26"/>
        </w:numPr>
      </w:pPr>
      <w:r w:rsidRPr="00CE4BA7">
        <w:t>Be given information on tenant advice and advocacy services</w:t>
      </w:r>
    </w:p>
    <w:p w14:paraId="3DA515D4" w14:textId="15BC3808" w:rsidR="00FE223E" w:rsidRPr="00CE4BA7" w:rsidRDefault="00CE4BA7" w:rsidP="006530D3">
      <w:pPr>
        <w:pStyle w:val="ListParagraph"/>
        <w:numPr>
          <w:ilvl w:val="0"/>
          <w:numId w:val="26"/>
        </w:numPr>
      </w:pPr>
      <w:r w:rsidRPr="00CE4BA7">
        <w:t>Lodge an appeal if they are not satisfied with the outcome, and</w:t>
      </w:r>
      <w:r w:rsidR="00FE223E">
        <w:t xml:space="preserve"> </w:t>
      </w:r>
    </w:p>
    <w:p w14:paraId="28FE7999" w14:textId="6900497C" w:rsidR="00CE4BA7" w:rsidRPr="006530D3" w:rsidRDefault="00CE4BA7" w:rsidP="006530D3">
      <w:pPr>
        <w:pStyle w:val="ListParagraph"/>
        <w:numPr>
          <w:ilvl w:val="0"/>
          <w:numId w:val="26"/>
        </w:numPr>
      </w:pPr>
      <w:r w:rsidRPr="00CE4BA7">
        <w:t>Be informed of the outcomes of their complaints in a timely manner</w:t>
      </w:r>
    </w:p>
    <w:p w14:paraId="1B6A535F" w14:textId="77777777" w:rsidR="002D1015" w:rsidRPr="00D71ECA" w:rsidRDefault="002D1015" w:rsidP="00DA3FA7">
      <w:pPr>
        <w:pStyle w:val="Heading1"/>
        <w:numPr>
          <w:ilvl w:val="0"/>
          <w:numId w:val="28"/>
        </w:numPr>
        <w:ind w:left="426" w:hanging="426"/>
      </w:pPr>
      <w:r w:rsidRPr="00D71ECA">
        <w:t>Anonymous Complaints</w:t>
      </w:r>
    </w:p>
    <w:p w14:paraId="6A7C0870" w14:textId="2EE45794" w:rsidR="002D1015" w:rsidRDefault="002D1015" w:rsidP="006530D3">
      <w:r w:rsidRPr="00000054">
        <w:t>Anonymous complaints</w:t>
      </w:r>
      <w:r>
        <w:t xml:space="preserve"> will be accepted.</w:t>
      </w:r>
    </w:p>
    <w:p w14:paraId="01326399" w14:textId="6390D879" w:rsidR="001371A7" w:rsidRDefault="002D1015" w:rsidP="006530D3">
      <w:pPr>
        <w:rPr>
          <w:rFonts w:cs="Arial"/>
          <w:b/>
          <w:szCs w:val="20"/>
        </w:rPr>
      </w:pPr>
      <w:r>
        <w:t xml:space="preserve">However, in circumstances where an </w:t>
      </w:r>
      <w:r w:rsidR="00CE4B35">
        <w:t>anonymous complaint is received</w:t>
      </w:r>
      <w:r>
        <w:t xml:space="preserve"> Common Ground Queensland may find it difficult to thoroughly assess or respond to the complaint if there is not enough detail.  In this situation</w:t>
      </w:r>
      <w:r w:rsidR="00CE4B35">
        <w:t>,</w:t>
      </w:r>
      <w:r>
        <w:t xml:space="preserve"> the complaint may not be assessed. In addition, if </w:t>
      </w:r>
      <w:r w:rsidR="00CE4B35">
        <w:t>no contact details are provided</w:t>
      </w:r>
      <w:r w:rsidR="00881A8A">
        <w:t>,</w:t>
      </w:r>
      <w:r>
        <w:t xml:space="preserve"> complainants will not receive information about the outcome of any action taken by Common Ground Queensland.</w:t>
      </w:r>
    </w:p>
    <w:p w14:paraId="05238E79" w14:textId="77777777" w:rsidR="002D1015" w:rsidRPr="00A93A93" w:rsidRDefault="002D1015" w:rsidP="00DA3FA7">
      <w:pPr>
        <w:pStyle w:val="Heading1"/>
        <w:numPr>
          <w:ilvl w:val="0"/>
          <w:numId w:val="28"/>
        </w:numPr>
        <w:ind w:left="426" w:hanging="426"/>
      </w:pPr>
      <w:r>
        <w:t xml:space="preserve">Policy </w:t>
      </w:r>
      <w:r w:rsidRPr="00A93A93">
        <w:t>Exclusions</w:t>
      </w:r>
    </w:p>
    <w:p w14:paraId="401D59AD" w14:textId="46CD88C7" w:rsidR="002D1015" w:rsidRDefault="00000054" w:rsidP="006530D3">
      <w:pPr>
        <w:pStyle w:val="ListParagraph"/>
        <w:numPr>
          <w:ilvl w:val="0"/>
          <w:numId w:val="27"/>
        </w:numPr>
      </w:pPr>
      <w:r>
        <w:t>Compliments, c</w:t>
      </w:r>
      <w:r w:rsidR="002D1015">
        <w:t xml:space="preserve">omplaints or appeals by tenants (refer </w:t>
      </w:r>
      <w:r w:rsidR="002D1015" w:rsidRPr="005E0AE8">
        <w:t xml:space="preserve">Tenant Compliments, </w:t>
      </w:r>
      <w:proofErr w:type="gramStart"/>
      <w:r w:rsidR="002D1015" w:rsidRPr="005E0AE8">
        <w:t>Complaints  Appeals</w:t>
      </w:r>
      <w:proofErr w:type="gramEnd"/>
      <w:r w:rsidR="002D1015" w:rsidRPr="005E0AE8">
        <w:t xml:space="preserve"> </w:t>
      </w:r>
      <w:r w:rsidR="007E53F8">
        <w:t xml:space="preserve">and Feedback </w:t>
      </w:r>
      <w:r w:rsidR="002D1015" w:rsidRPr="005E0AE8">
        <w:t>Policy</w:t>
      </w:r>
      <w:proofErr w:type="gramStart"/>
      <w:r w:rsidR="002D1015">
        <w:t>);</w:t>
      </w:r>
      <w:proofErr w:type="gramEnd"/>
    </w:p>
    <w:p w14:paraId="41061D25" w14:textId="77777777" w:rsidR="00CC16F6" w:rsidRDefault="002D1015" w:rsidP="006530D3">
      <w:pPr>
        <w:pStyle w:val="ListParagraph"/>
        <w:numPr>
          <w:ilvl w:val="0"/>
          <w:numId w:val="27"/>
        </w:numPr>
      </w:pPr>
      <w:r>
        <w:t xml:space="preserve">General enquiries and requests for information and/or </w:t>
      </w:r>
      <w:proofErr w:type="gramStart"/>
      <w:r>
        <w:t>services;</w:t>
      </w:r>
      <w:proofErr w:type="gramEnd"/>
    </w:p>
    <w:p w14:paraId="2298E01F" w14:textId="77777777" w:rsidR="002D1015" w:rsidRPr="002D1015" w:rsidRDefault="00CC16F6" w:rsidP="006530D3">
      <w:pPr>
        <w:pStyle w:val="ListParagraph"/>
        <w:numPr>
          <w:ilvl w:val="0"/>
          <w:numId w:val="27"/>
        </w:numPr>
      </w:pPr>
      <w:r>
        <w:t xml:space="preserve">Feedback – opinions or suggestions, positive or negative, given to Common Ground Queensland about its services; </w:t>
      </w:r>
      <w:r w:rsidR="002D1015" w:rsidRPr="002D1015">
        <w:t>and</w:t>
      </w:r>
    </w:p>
    <w:p w14:paraId="5DDACA45" w14:textId="77777777" w:rsidR="002D1015" w:rsidRPr="00F80B21" w:rsidRDefault="002D1015" w:rsidP="006530D3">
      <w:pPr>
        <w:pStyle w:val="ListParagraph"/>
        <w:numPr>
          <w:ilvl w:val="0"/>
          <w:numId w:val="27"/>
        </w:numPr>
      </w:pPr>
      <w:r>
        <w:t xml:space="preserve">An incident unless it has led to a complaint (refer </w:t>
      </w:r>
      <w:r w:rsidRPr="005E0AE8">
        <w:t>Incident Management and Reporting Procedure</w:t>
      </w:r>
      <w:r>
        <w:t xml:space="preserve">). </w:t>
      </w:r>
    </w:p>
    <w:p w14:paraId="593D0AC8" w14:textId="77777777" w:rsidR="009C6466" w:rsidRDefault="009C6466" w:rsidP="006530D3"/>
    <w:p w14:paraId="180706C5" w14:textId="7BB13B4E" w:rsidR="00FE223E" w:rsidRPr="00BB0E85" w:rsidRDefault="006679C2" w:rsidP="00BB0E85">
      <w:pPr>
        <w:pStyle w:val="Heading1"/>
        <w:numPr>
          <w:ilvl w:val="0"/>
          <w:numId w:val="28"/>
        </w:numPr>
        <w:ind w:left="426" w:hanging="426"/>
      </w:pPr>
      <w:r>
        <w:lastRenderedPageBreak/>
        <w:t>Related Documents</w:t>
      </w:r>
    </w:p>
    <w:p w14:paraId="2F4ECEBD" w14:textId="77777777" w:rsidR="00610770" w:rsidRDefault="0091485D" w:rsidP="006530D3">
      <w:r>
        <w:t xml:space="preserve">This policy </w:t>
      </w:r>
      <w:r w:rsidR="00CE4B35">
        <w:t xml:space="preserve">will be actively </w:t>
      </w:r>
      <w:r>
        <w:t>implemented by adhere</w:t>
      </w:r>
      <w:r w:rsidR="00FB67C1">
        <w:t>nce to the following</w:t>
      </w:r>
      <w:r>
        <w:t xml:space="preserve"> procedures:</w:t>
      </w:r>
    </w:p>
    <w:p w14:paraId="7D5E0857" w14:textId="0F9F37C0" w:rsidR="002D1015" w:rsidRDefault="002D1015" w:rsidP="00CA4180">
      <w:pPr>
        <w:numPr>
          <w:ilvl w:val="0"/>
          <w:numId w:val="9"/>
        </w:numPr>
        <w:spacing w:line="240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External Communication</w:t>
      </w:r>
      <w:r w:rsidR="008B69A9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Procedure</w:t>
      </w:r>
    </w:p>
    <w:p w14:paraId="1B72F016" w14:textId="442D236C" w:rsidR="00986F79" w:rsidRDefault="00D1535E" w:rsidP="00CA4180">
      <w:pPr>
        <w:numPr>
          <w:ilvl w:val="0"/>
          <w:numId w:val="9"/>
        </w:numPr>
        <w:spacing w:line="240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General Compliments, Complaints and Appeal</w:t>
      </w:r>
      <w:r w:rsidR="00C82501">
        <w:rPr>
          <w:rFonts w:cs="Arial"/>
          <w:szCs w:val="20"/>
        </w:rPr>
        <w:t>s</w:t>
      </w:r>
      <w:r>
        <w:rPr>
          <w:rFonts w:cs="Arial"/>
          <w:szCs w:val="20"/>
        </w:rPr>
        <w:t xml:space="preserve"> Procedure</w:t>
      </w:r>
    </w:p>
    <w:p w14:paraId="237146D9" w14:textId="77777777" w:rsidR="005E0AE8" w:rsidRDefault="005E0AE8" w:rsidP="00CA4180">
      <w:pPr>
        <w:numPr>
          <w:ilvl w:val="0"/>
          <w:numId w:val="9"/>
        </w:numPr>
        <w:spacing w:line="240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Incident Management and Reporting Procedure</w:t>
      </w:r>
    </w:p>
    <w:p w14:paraId="4BB7B7EA" w14:textId="4D79DE88" w:rsidR="00000054" w:rsidRPr="00CE4B35" w:rsidRDefault="00000054" w:rsidP="00CA4180">
      <w:pPr>
        <w:numPr>
          <w:ilvl w:val="0"/>
          <w:numId w:val="9"/>
        </w:numPr>
        <w:spacing w:line="240" w:lineRule="auto"/>
        <w:ind w:left="357" w:hanging="357"/>
        <w:rPr>
          <w:rFonts w:cs="Arial"/>
          <w:szCs w:val="20"/>
        </w:rPr>
      </w:pPr>
      <w:r>
        <w:rPr>
          <w:rFonts w:cs="Arial"/>
          <w:szCs w:val="20"/>
        </w:rPr>
        <w:t>Privacy and Confidentiality Procedure</w:t>
      </w:r>
    </w:p>
    <w:sectPr w:rsidR="00000054" w:rsidRPr="00CE4B35" w:rsidSect="002113D5">
      <w:headerReference w:type="default" r:id="rId11"/>
      <w:footerReference w:type="default" r:id="rId12"/>
      <w:pgSz w:w="11906" w:h="16838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5F72B" w14:textId="77777777" w:rsidR="00361225" w:rsidRDefault="00361225" w:rsidP="00A75521">
      <w:pPr>
        <w:pStyle w:val="Header"/>
      </w:pPr>
      <w:r>
        <w:separator/>
      </w:r>
    </w:p>
  </w:endnote>
  <w:endnote w:type="continuationSeparator" w:id="0">
    <w:p w14:paraId="1795C462" w14:textId="77777777" w:rsidR="00361225" w:rsidRDefault="00361225" w:rsidP="00A75521">
      <w:pPr>
        <w:pStyle w:val="Header"/>
      </w:pPr>
      <w:r>
        <w:continuationSeparator/>
      </w:r>
    </w:p>
  </w:endnote>
  <w:endnote w:type="continuationNotice" w:id="1">
    <w:p w14:paraId="56D1AE01" w14:textId="77777777" w:rsidR="00361225" w:rsidRDefault="003612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32520" w14:textId="336721C3" w:rsidR="00A16E7F" w:rsidRPr="00BC01F0" w:rsidRDefault="00A16E7F" w:rsidP="00803A46">
    <w:pPr>
      <w:pStyle w:val="Footer"/>
      <w:pBdr>
        <w:top w:val="single" w:sz="4" w:space="0" w:color="auto"/>
      </w:pBdr>
      <w:tabs>
        <w:tab w:val="clear" w:pos="4153"/>
        <w:tab w:val="clear" w:pos="8306"/>
        <w:tab w:val="center" w:pos="6521"/>
        <w:tab w:val="right" w:pos="9072"/>
      </w:tabs>
      <w:rPr>
        <w:rFonts w:cs="Arial"/>
        <w:sz w:val="16"/>
        <w:szCs w:val="16"/>
      </w:rPr>
    </w:pPr>
    <w:r w:rsidRPr="00BC01F0">
      <w:rPr>
        <w:rFonts w:cs="Arial"/>
        <w:sz w:val="16"/>
        <w:szCs w:val="16"/>
      </w:rPr>
      <w:fldChar w:fldCharType="begin"/>
    </w:r>
    <w:r w:rsidRPr="00BC01F0">
      <w:rPr>
        <w:rFonts w:cs="Arial"/>
        <w:sz w:val="16"/>
        <w:szCs w:val="16"/>
      </w:rPr>
      <w:instrText xml:space="preserve"> FILENAME </w:instrText>
    </w:r>
    <w:r w:rsidRPr="00BC01F0">
      <w:rPr>
        <w:rFonts w:cs="Arial"/>
        <w:sz w:val="16"/>
        <w:szCs w:val="16"/>
      </w:rPr>
      <w:fldChar w:fldCharType="separate"/>
    </w:r>
    <w:r w:rsidR="00803A46">
      <w:rPr>
        <w:rFonts w:cs="Arial"/>
        <w:noProof/>
        <w:sz w:val="16"/>
        <w:szCs w:val="16"/>
      </w:rPr>
      <w:t>General Compliments Complaints and Appeals Policy</w:t>
    </w:r>
    <w:r w:rsidRPr="00BC01F0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– </w:t>
    </w:r>
    <w:r w:rsidR="00C970E1">
      <w:rPr>
        <w:rFonts w:cs="Arial"/>
        <w:sz w:val="16"/>
        <w:szCs w:val="16"/>
      </w:rPr>
      <w:t>v</w:t>
    </w:r>
    <w:r w:rsidR="00A84DB7">
      <w:rPr>
        <w:rFonts w:cs="Arial"/>
        <w:sz w:val="16"/>
        <w:szCs w:val="16"/>
      </w:rPr>
      <w:t xml:space="preserve"> </w:t>
    </w:r>
    <w:r w:rsidR="00904B05">
      <w:rPr>
        <w:rFonts w:cs="Arial"/>
        <w:sz w:val="16"/>
        <w:szCs w:val="16"/>
      </w:rPr>
      <w:t>7</w:t>
    </w:r>
    <w:r w:rsidR="00A84DB7">
      <w:rPr>
        <w:rFonts w:cs="Arial"/>
        <w:sz w:val="16"/>
        <w:szCs w:val="16"/>
      </w:rPr>
      <w:t xml:space="preserve">         </w:t>
    </w:r>
    <w:r>
      <w:rPr>
        <w:rFonts w:cs="Arial"/>
        <w:sz w:val="16"/>
        <w:szCs w:val="16"/>
      </w:rPr>
      <w:tab/>
    </w:r>
    <w:r w:rsidRPr="00BC01F0">
      <w:rPr>
        <w:rFonts w:cs="Arial"/>
        <w:sz w:val="16"/>
        <w:szCs w:val="16"/>
      </w:rPr>
      <w:t xml:space="preserve">Page </w:t>
    </w:r>
    <w:r w:rsidRPr="00BC01F0">
      <w:rPr>
        <w:rFonts w:cs="Arial"/>
        <w:sz w:val="16"/>
        <w:szCs w:val="16"/>
      </w:rPr>
      <w:fldChar w:fldCharType="begin"/>
    </w:r>
    <w:r w:rsidRPr="00BC01F0">
      <w:rPr>
        <w:rFonts w:cs="Arial"/>
        <w:sz w:val="16"/>
        <w:szCs w:val="16"/>
      </w:rPr>
      <w:instrText xml:space="preserve"> PAGE </w:instrText>
    </w:r>
    <w:r w:rsidRPr="00BC01F0">
      <w:rPr>
        <w:rFonts w:cs="Arial"/>
        <w:sz w:val="16"/>
        <w:szCs w:val="16"/>
      </w:rPr>
      <w:fldChar w:fldCharType="separate"/>
    </w:r>
    <w:r w:rsidR="00E63B53">
      <w:rPr>
        <w:rFonts w:cs="Arial"/>
        <w:noProof/>
        <w:sz w:val="16"/>
        <w:szCs w:val="16"/>
      </w:rPr>
      <w:t>1</w:t>
    </w:r>
    <w:r w:rsidRPr="00BC01F0">
      <w:rPr>
        <w:rFonts w:cs="Arial"/>
        <w:sz w:val="16"/>
        <w:szCs w:val="16"/>
      </w:rPr>
      <w:fldChar w:fldCharType="end"/>
    </w:r>
    <w:r w:rsidRPr="00BC01F0">
      <w:rPr>
        <w:rFonts w:cs="Arial"/>
        <w:sz w:val="16"/>
        <w:szCs w:val="16"/>
      </w:rPr>
      <w:t xml:space="preserve"> of </w:t>
    </w:r>
    <w:r w:rsidRPr="00BC01F0">
      <w:rPr>
        <w:rFonts w:cs="Arial"/>
        <w:sz w:val="16"/>
        <w:szCs w:val="16"/>
      </w:rPr>
      <w:fldChar w:fldCharType="begin"/>
    </w:r>
    <w:r w:rsidRPr="00BC01F0">
      <w:rPr>
        <w:rFonts w:cs="Arial"/>
        <w:sz w:val="16"/>
        <w:szCs w:val="16"/>
      </w:rPr>
      <w:instrText xml:space="preserve"> NUMPAGES </w:instrText>
    </w:r>
    <w:r w:rsidRPr="00BC01F0">
      <w:rPr>
        <w:rFonts w:cs="Arial"/>
        <w:sz w:val="16"/>
        <w:szCs w:val="16"/>
      </w:rPr>
      <w:fldChar w:fldCharType="separate"/>
    </w:r>
    <w:r w:rsidR="00E63B53">
      <w:rPr>
        <w:rFonts w:cs="Arial"/>
        <w:noProof/>
        <w:sz w:val="16"/>
        <w:szCs w:val="16"/>
      </w:rPr>
      <w:t>2</w:t>
    </w:r>
    <w:r w:rsidRPr="00BC01F0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8CA7A" w14:textId="77777777" w:rsidR="00361225" w:rsidRDefault="00361225" w:rsidP="00A75521">
      <w:pPr>
        <w:pStyle w:val="Header"/>
      </w:pPr>
      <w:r>
        <w:separator/>
      </w:r>
    </w:p>
  </w:footnote>
  <w:footnote w:type="continuationSeparator" w:id="0">
    <w:p w14:paraId="36DA0680" w14:textId="77777777" w:rsidR="00361225" w:rsidRDefault="00361225" w:rsidP="00A75521">
      <w:pPr>
        <w:pStyle w:val="Header"/>
      </w:pPr>
      <w:r>
        <w:continuationSeparator/>
      </w:r>
    </w:p>
  </w:footnote>
  <w:footnote w:type="continuationNotice" w:id="1">
    <w:p w14:paraId="39A32C9B" w14:textId="77777777" w:rsidR="00361225" w:rsidRDefault="003612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88" w:type="dxa"/>
      <w:tblBorders>
        <w:bottom w:val="single" w:sz="4" w:space="0" w:color="auto"/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7308"/>
      <w:gridCol w:w="1980"/>
    </w:tblGrid>
    <w:tr w:rsidR="00D14938" w:rsidRPr="005671A0" w14:paraId="481B39BE" w14:textId="77777777" w:rsidTr="00F56238">
      <w:tc>
        <w:tcPr>
          <w:tcW w:w="7308" w:type="dxa"/>
          <w:shd w:val="clear" w:color="auto" w:fill="auto"/>
        </w:tcPr>
        <w:p w14:paraId="0011CAEF" w14:textId="77777777" w:rsidR="00D14938" w:rsidRPr="005671A0" w:rsidRDefault="00D14938" w:rsidP="00D14938">
          <w:pPr>
            <w:keepNext/>
            <w:keepLines/>
            <w:tabs>
              <w:tab w:val="left" w:pos="1985"/>
            </w:tabs>
            <w:rPr>
              <w:rFonts w:cs="Arial"/>
            </w:rPr>
          </w:pPr>
          <w:r w:rsidRPr="005671A0">
            <w:rPr>
              <w:rFonts w:cs="Arial"/>
            </w:rPr>
            <w:t>Management System</w:t>
          </w:r>
        </w:p>
        <w:p w14:paraId="45A2E5A0" w14:textId="77777777" w:rsidR="00D14938" w:rsidRPr="005671A0" w:rsidRDefault="00D14938" w:rsidP="00D14938">
          <w:pPr>
            <w:keepNext/>
            <w:keepLines/>
            <w:tabs>
              <w:tab w:val="left" w:pos="1985"/>
            </w:tabs>
            <w:rPr>
              <w:rFonts w:cs="Arial"/>
            </w:rPr>
          </w:pPr>
        </w:p>
        <w:p w14:paraId="15500AD0" w14:textId="782E00CB" w:rsidR="00D14938" w:rsidRPr="005671A0" w:rsidRDefault="00D14938" w:rsidP="00D14938">
          <w:pPr>
            <w:keepNext/>
            <w:keepLines/>
            <w:tabs>
              <w:tab w:val="left" w:pos="1985"/>
            </w:tabs>
            <w:rPr>
              <w:rFonts w:cs="Arial"/>
            </w:rPr>
          </w:pPr>
          <w:r>
            <w:rPr>
              <w:rFonts w:cs="Arial"/>
            </w:rPr>
            <w:t>P</w:t>
          </w:r>
          <w:r>
            <w:rPr>
              <w:rFonts w:cs="Arial"/>
            </w:rPr>
            <w:t>olicy</w:t>
          </w:r>
        </w:p>
      </w:tc>
      <w:tc>
        <w:tcPr>
          <w:tcW w:w="1980" w:type="dxa"/>
          <w:shd w:val="clear" w:color="auto" w:fill="auto"/>
        </w:tcPr>
        <w:p w14:paraId="3ABB8CF4" w14:textId="1A350D23" w:rsidR="00D14938" w:rsidRPr="005671A0" w:rsidRDefault="00D14938" w:rsidP="00D14938">
          <w:pPr>
            <w:keepNext/>
            <w:keepLines/>
            <w:tabs>
              <w:tab w:val="left" w:pos="1985"/>
            </w:tabs>
            <w:rPr>
              <w:rFonts w:cs="Arial"/>
            </w:rPr>
          </w:pPr>
          <w:r w:rsidRPr="005671A0">
            <w:rPr>
              <w:rFonts w:cs="Arial"/>
              <w:noProof/>
            </w:rPr>
            <w:drawing>
              <wp:inline distT="0" distB="0" distL="0" distR="0" wp14:anchorId="0874B35E" wp14:editId="7145B4C6">
                <wp:extent cx="1120140" cy="609600"/>
                <wp:effectExtent l="0" t="0" r="3810" b="0"/>
                <wp:docPr id="1222091819" name="Picture 1" descr="A logo with text on i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 logo with text on i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1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236EFD0" w14:textId="77777777" w:rsidR="00A16E7F" w:rsidRPr="00CD19FA" w:rsidRDefault="00A16E7F">
    <w:pPr>
      <w:pStyle w:val="Header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3323"/>
    <w:multiLevelType w:val="hybridMultilevel"/>
    <w:tmpl w:val="2182E4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8574B"/>
    <w:multiLevelType w:val="hybridMultilevel"/>
    <w:tmpl w:val="4B0A30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C5011"/>
    <w:multiLevelType w:val="hybridMultilevel"/>
    <w:tmpl w:val="E2603B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873DE"/>
    <w:multiLevelType w:val="hybridMultilevel"/>
    <w:tmpl w:val="C3B441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F5D12"/>
    <w:multiLevelType w:val="hybridMultilevel"/>
    <w:tmpl w:val="78DE3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B6596"/>
    <w:multiLevelType w:val="hybridMultilevel"/>
    <w:tmpl w:val="E9E0C0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FB1273"/>
    <w:multiLevelType w:val="hybridMultilevel"/>
    <w:tmpl w:val="10583D24"/>
    <w:lvl w:ilvl="0" w:tplc="29F857E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4337"/>
    <w:multiLevelType w:val="hybridMultilevel"/>
    <w:tmpl w:val="B470AA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F0585"/>
    <w:multiLevelType w:val="hybridMultilevel"/>
    <w:tmpl w:val="C84ED346"/>
    <w:lvl w:ilvl="0" w:tplc="70665DD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27DD4"/>
    <w:multiLevelType w:val="hybridMultilevel"/>
    <w:tmpl w:val="0AE08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F192F"/>
    <w:multiLevelType w:val="hybridMultilevel"/>
    <w:tmpl w:val="A81607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13C8"/>
    <w:multiLevelType w:val="multilevel"/>
    <w:tmpl w:val="C84ED3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6232E"/>
    <w:multiLevelType w:val="multilevel"/>
    <w:tmpl w:val="87BCD6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1695C"/>
    <w:multiLevelType w:val="hybridMultilevel"/>
    <w:tmpl w:val="6B7CF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89656A"/>
    <w:multiLevelType w:val="hybridMultilevel"/>
    <w:tmpl w:val="1B7E2D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C73E9"/>
    <w:multiLevelType w:val="hybridMultilevel"/>
    <w:tmpl w:val="0F3E1D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765E7A"/>
    <w:multiLevelType w:val="hybridMultilevel"/>
    <w:tmpl w:val="5B207534"/>
    <w:lvl w:ilvl="0" w:tplc="A4CE0A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A55842"/>
    <w:multiLevelType w:val="hybridMultilevel"/>
    <w:tmpl w:val="269A4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A0C74"/>
    <w:multiLevelType w:val="hybridMultilevel"/>
    <w:tmpl w:val="F56019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826EE3"/>
    <w:multiLevelType w:val="hybridMultilevel"/>
    <w:tmpl w:val="A532EF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327042"/>
    <w:multiLevelType w:val="multilevel"/>
    <w:tmpl w:val="10583D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FD0D8B"/>
    <w:multiLevelType w:val="hybridMultilevel"/>
    <w:tmpl w:val="6BBEAF28"/>
    <w:lvl w:ilvl="0" w:tplc="A4CE0A12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43FA5EA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i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0602CD"/>
    <w:multiLevelType w:val="hybridMultilevel"/>
    <w:tmpl w:val="508A33F6"/>
    <w:lvl w:ilvl="0" w:tplc="E01420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87705F"/>
    <w:multiLevelType w:val="hybridMultilevel"/>
    <w:tmpl w:val="97365CAE"/>
    <w:lvl w:ilvl="0" w:tplc="0D8627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B175F"/>
    <w:multiLevelType w:val="hybridMultilevel"/>
    <w:tmpl w:val="87BCD6FC"/>
    <w:lvl w:ilvl="0" w:tplc="6504E0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F0913"/>
    <w:multiLevelType w:val="multilevel"/>
    <w:tmpl w:val="97365C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00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B41AF"/>
    <w:multiLevelType w:val="hybridMultilevel"/>
    <w:tmpl w:val="422AD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604AC"/>
    <w:multiLevelType w:val="hybridMultilevel"/>
    <w:tmpl w:val="D2DA89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7614600">
    <w:abstractNumId w:val="8"/>
  </w:num>
  <w:num w:numId="2" w16cid:durableId="1287152299">
    <w:abstractNumId w:val="11"/>
  </w:num>
  <w:num w:numId="3" w16cid:durableId="310713644">
    <w:abstractNumId w:val="6"/>
  </w:num>
  <w:num w:numId="4" w16cid:durableId="294799950">
    <w:abstractNumId w:val="20"/>
  </w:num>
  <w:num w:numId="5" w16cid:durableId="1446198567">
    <w:abstractNumId w:val="24"/>
  </w:num>
  <w:num w:numId="6" w16cid:durableId="294218812">
    <w:abstractNumId w:val="12"/>
  </w:num>
  <w:num w:numId="7" w16cid:durableId="514878843">
    <w:abstractNumId w:val="23"/>
  </w:num>
  <w:num w:numId="8" w16cid:durableId="497769377">
    <w:abstractNumId w:val="25"/>
  </w:num>
  <w:num w:numId="9" w16cid:durableId="1794708662">
    <w:abstractNumId w:val="22"/>
  </w:num>
  <w:num w:numId="10" w16cid:durableId="269119891">
    <w:abstractNumId w:val="16"/>
  </w:num>
  <w:num w:numId="11" w16cid:durableId="587038588">
    <w:abstractNumId w:val="21"/>
  </w:num>
  <w:num w:numId="12" w16cid:durableId="1349678878">
    <w:abstractNumId w:val="4"/>
  </w:num>
  <w:num w:numId="13" w16cid:durableId="1930382362">
    <w:abstractNumId w:val="17"/>
  </w:num>
  <w:num w:numId="14" w16cid:durableId="2121798887">
    <w:abstractNumId w:val="5"/>
  </w:num>
  <w:num w:numId="15" w16cid:durableId="1715740040">
    <w:abstractNumId w:val="7"/>
  </w:num>
  <w:num w:numId="16" w16cid:durableId="564679296">
    <w:abstractNumId w:val="13"/>
  </w:num>
  <w:num w:numId="17" w16cid:durableId="301009811">
    <w:abstractNumId w:val="9"/>
  </w:num>
  <w:num w:numId="18" w16cid:durableId="856386099">
    <w:abstractNumId w:val="3"/>
  </w:num>
  <w:num w:numId="19" w16cid:durableId="1888636629">
    <w:abstractNumId w:val="0"/>
  </w:num>
  <w:num w:numId="20" w16cid:durableId="2093964996">
    <w:abstractNumId w:val="15"/>
  </w:num>
  <w:num w:numId="21" w16cid:durableId="592738753">
    <w:abstractNumId w:val="14"/>
  </w:num>
  <w:num w:numId="22" w16cid:durableId="264267265">
    <w:abstractNumId w:val="1"/>
  </w:num>
  <w:num w:numId="23" w16cid:durableId="1573273807">
    <w:abstractNumId w:val="27"/>
  </w:num>
  <w:num w:numId="24" w16cid:durableId="1565332060">
    <w:abstractNumId w:val="2"/>
  </w:num>
  <w:num w:numId="25" w16cid:durableId="643586155">
    <w:abstractNumId w:val="19"/>
  </w:num>
  <w:num w:numId="26" w16cid:durableId="1821579185">
    <w:abstractNumId w:val="10"/>
  </w:num>
  <w:num w:numId="27" w16cid:durableId="1294477889">
    <w:abstractNumId w:val="18"/>
  </w:num>
  <w:num w:numId="28" w16cid:durableId="2105498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AU" w:vendorID="64" w:dllVersion="6" w:nlCheck="1" w:checkStyle="0"/>
  <w:activeWritingStyle w:appName="MSWord" w:lang="en-A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9FA"/>
    <w:rsid w:val="00000054"/>
    <w:rsid w:val="000056A5"/>
    <w:rsid w:val="000551BD"/>
    <w:rsid w:val="0006450E"/>
    <w:rsid w:val="000C7D25"/>
    <w:rsid w:val="001371A7"/>
    <w:rsid w:val="00173CF2"/>
    <w:rsid w:val="0018350B"/>
    <w:rsid w:val="00190E8C"/>
    <w:rsid w:val="001A6ABB"/>
    <w:rsid w:val="001C7B6C"/>
    <w:rsid w:val="001F398C"/>
    <w:rsid w:val="002113D5"/>
    <w:rsid w:val="00230A0E"/>
    <w:rsid w:val="002602F3"/>
    <w:rsid w:val="002A7E76"/>
    <w:rsid w:val="002B75EF"/>
    <w:rsid w:val="002C4314"/>
    <w:rsid w:val="002D1015"/>
    <w:rsid w:val="00312B38"/>
    <w:rsid w:val="003206D3"/>
    <w:rsid w:val="003301AE"/>
    <w:rsid w:val="00347728"/>
    <w:rsid w:val="00361225"/>
    <w:rsid w:val="003756C1"/>
    <w:rsid w:val="00375C9F"/>
    <w:rsid w:val="00384EB5"/>
    <w:rsid w:val="00390BED"/>
    <w:rsid w:val="003F2F77"/>
    <w:rsid w:val="004039ED"/>
    <w:rsid w:val="0041484D"/>
    <w:rsid w:val="00420758"/>
    <w:rsid w:val="00424C4B"/>
    <w:rsid w:val="00447A6F"/>
    <w:rsid w:val="0047152F"/>
    <w:rsid w:val="004A5A4D"/>
    <w:rsid w:val="004A6FE7"/>
    <w:rsid w:val="004C545A"/>
    <w:rsid w:val="004E66A9"/>
    <w:rsid w:val="0052538A"/>
    <w:rsid w:val="00532BFE"/>
    <w:rsid w:val="00541864"/>
    <w:rsid w:val="00547BC8"/>
    <w:rsid w:val="005758A1"/>
    <w:rsid w:val="005859F8"/>
    <w:rsid w:val="005872EA"/>
    <w:rsid w:val="00592504"/>
    <w:rsid w:val="005B28FF"/>
    <w:rsid w:val="005D75C7"/>
    <w:rsid w:val="005E0AE8"/>
    <w:rsid w:val="005E25A9"/>
    <w:rsid w:val="005F2F90"/>
    <w:rsid w:val="00610770"/>
    <w:rsid w:val="006111B2"/>
    <w:rsid w:val="006530D3"/>
    <w:rsid w:val="0065465A"/>
    <w:rsid w:val="006679C2"/>
    <w:rsid w:val="00671C7C"/>
    <w:rsid w:val="006827AB"/>
    <w:rsid w:val="00686FEB"/>
    <w:rsid w:val="006904CF"/>
    <w:rsid w:val="006932D3"/>
    <w:rsid w:val="006A1D8A"/>
    <w:rsid w:val="006A38D1"/>
    <w:rsid w:val="006C6D0C"/>
    <w:rsid w:val="006E2E87"/>
    <w:rsid w:val="00700062"/>
    <w:rsid w:val="007035F7"/>
    <w:rsid w:val="00713C01"/>
    <w:rsid w:val="00727555"/>
    <w:rsid w:val="007515E3"/>
    <w:rsid w:val="007545CA"/>
    <w:rsid w:val="007558FB"/>
    <w:rsid w:val="007573A6"/>
    <w:rsid w:val="00760058"/>
    <w:rsid w:val="00786FC2"/>
    <w:rsid w:val="0079052A"/>
    <w:rsid w:val="0079356A"/>
    <w:rsid w:val="007C2A4A"/>
    <w:rsid w:val="007E53F8"/>
    <w:rsid w:val="007F3DE7"/>
    <w:rsid w:val="00803A46"/>
    <w:rsid w:val="00810AED"/>
    <w:rsid w:val="0083170F"/>
    <w:rsid w:val="0083255D"/>
    <w:rsid w:val="008626FE"/>
    <w:rsid w:val="00864386"/>
    <w:rsid w:val="00881A8A"/>
    <w:rsid w:val="00890950"/>
    <w:rsid w:val="0089464F"/>
    <w:rsid w:val="008A4316"/>
    <w:rsid w:val="008B0E4B"/>
    <w:rsid w:val="008B69A9"/>
    <w:rsid w:val="008C4394"/>
    <w:rsid w:val="008D0B85"/>
    <w:rsid w:val="00904B05"/>
    <w:rsid w:val="0091485D"/>
    <w:rsid w:val="009773FC"/>
    <w:rsid w:val="00986F79"/>
    <w:rsid w:val="009906F1"/>
    <w:rsid w:val="009908B4"/>
    <w:rsid w:val="00993ED1"/>
    <w:rsid w:val="009B4769"/>
    <w:rsid w:val="009C0D3B"/>
    <w:rsid w:val="009C6466"/>
    <w:rsid w:val="009D5103"/>
    <w:rsid w:val="009E6B19"/>
    <w:rsid w:val="009F203E"/>
    <w:rsid w:val="009F5236"/>
    <w:rsid w:val="00A16E7F"/>
    <w:rsid w:val="00A43D49"/>
    <w:rsid w:val="00A75521"/>
    <w:rsid w:val="00A84DB7"/>
    <w:rsid w:val="00A94811"/>
    <w:rsid w:val="00AB4736"/>
    <w:rsid w:val="00B31673"/>
    <w:rsid w:val="00B56DE0"/>
    <w:rsid w:val="00B64A7C"/>
    <w:rsid w:val="00B67B8D"/>
    <w:rsid w:val="00B72AE0"/>
    <w:rsid w:val="00B9073A"/>
    <w:rsid w:val="00B95DDE"/>
    <w:rsid w:val="00BA75FE"/>
    <w:rsid w:val="00BB0E85"/>
    <w:rsid w:val="00BB31ED"/>
    <w:rsid w:val="00BC01F0"/>
    <w:rsid w:val="00BE1856"/>
    <w:rsid w:val="00BF5741"/>
    <w:rsid w:val="00C13CED"/>
    <w:rsid w:val="00C323A8"/>
    <w:rsid w:val="00C43994"/>
    <w:rsid w:val="00C603AE"/>
    <w:rsid w:val="00C82501"/>
    <w:rsid w:val="00C858D5"/>
    <w:rsid w:val="00C970E1"/>
    <w:rsid w:val="00CA066E"/>
    <w:rsid w:val="00CA20D0"/>
    <w:rsid w:val="00CA4180"/>
    <w:rsid w:val="00CB388D"/>
    <w:rsid w:val="00CC16F6"/>
    <w:rsid w:val="00CD0AD8"/>
    <w:rsid w:val="00CD19FA"/>
    <w:rsid w:val="00CE4B35"/>
    <w:rsid w:val="00CE4BA7"/>
    <w:rsid w:val="00CF5F06"/>
    <w:rsid w:val="00D026AC"/>
    <w:rsid w:val="00D14938"/>
    <w:rsid w:val="00D1535E"/>
    <w:rsid w:val="00D46A51"/>
    <w:rsid w:val="00DA3FA7"/>
    <w:rsid w:val="00DA4A83"/>
    <w:rsid w:val="00DC534E"/>
    <w:rsid w:val="00DE342F"/>
    <w:rsid w:val="00E021D7"/>
    <w:rsid w:val="00E04911"/>
    <w:rsid w:val="00E05E68"/>
    <w:rsid w:val="00E17B09"/>
    <w:rsid w:val="00E45699"/>
    <w:rsid w:val="00E63B53"/>
    <w:rsid w:val="00EB0281"/>
    <w:rsid w:val="00EB158D"/>
    <w:rsid w:val="00EB505F"/>
    <w:rsid w:val="00EC66C6"/>
    <w:rsid w:val="00ED0C53"/>
    <w:rsid w:val="00EF77C5"/>
    <w:rsid w:val="00F01103"/>
    <w:rsid w:val="00F02E34"/>
    <w:rsid w:val="00F13AB4"/>
    <w:rsid w:val="00F2176D"/>
    <w:rsid w:val="00F43C1B"/>
    <w:rsid w:val="00F95D22"/>
    <w:rsid w:val="00FB67C1"/>
    <w:rsid w:val="00FC15B4"/>
    <w:rsid w:val="00FC1CD7"/>
    <w:rsid w:val="00FE223E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9D485A"/>
  <w15:docId w15:val="{034F97B0-F611-4501-B09F-9F54A7C7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4BA7"/>
    <w:pPr>
      <w:spacing w:before="120" w:after="120" w:line="360" w:lineRule="auto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qFormat/>
    <w:rsid w:val="00C323A8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D19F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D19FA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CD1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B158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C323A8"/>
    <w:rPr>
      <w:rFonts w:ascii="Arial" w:hAnsi="Arial"/>
      <w:b/>
      <w:bCs/>
      <w:kern w:val="32"/>
      <w:szCs w:val="32"/>
    </w:rPr>
  </w:style>
  <w:style w:type="paragraph" w:styleId="NormalWeb">
    <w:name w:val="Normal (Web)"/>
    <w:basedOn w:val="Normal"/>
    <w:uiPriority w:val="99"/>
    <w:rsid w:val="00727555"/>
  </w:style>
  <w:style w:type="paragraph" w:styleId="ListParagraph">
    <w:name w:val="List Paragraph"/>
    <w:basedOn w:val="Normal"/>
    <w:uiPriority w:val="34"/>
    <w:qFormat/>
    <w:rsid w:val="002D1015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551B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51BD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51BD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5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51BD"/>
    <w:rPr>
      <w:b/>
      <w:bCs/>
    </w:rPr>
  </w:style>
  <w:style w:type="paragraph" w:styleId="Title">
    <w:name w:val="Title"/>
    <w:basedOn w:val="Normal"/>
    <w:next w:val="Normal"/>
    <w:link w:val="TitleChar"/>
    <w:qFormat/>
    <w:rsid w:val="00C323A8"/>
    <w:pPr>
      <w:keepNext/>
      <w:keepLines/>
      <w:tabs>
        <w:tab w:val="left" w:pos="1985"/>
      </w:tabs>
    </w:pPr>
    <w:rPr>
      <w:rFonts w:cs="Arial"/>
      <w:b/>
    </w:rPr>
  </w:style>
  <w:style w:type="character" w:customStyle="1" w:styleId="TitleChar">
    <w:name w:val="Title Char"/>
    <w:basedOn w:val="DefaultParagraphFont"/>
    <w:link w:val="Title"/>
    <w:rsid w:val="00C323A8"/>
    <w:rPr>
      <w:rFonts w:ascii="Arial" w:hAnsi="Arial" w:cs="Arial"/>
      <w:b/>
      <w:szCs w:val="24"/>
    </w:rPr>
  </w:style>
  <w:style w:type="paragraph" w:styleId="Revision">
    <w:name w:val="Revision"/>
    <w:hidden/>
    <w:uiPriority w:val="99"/>
    <w:semiHidden/>
    <w:rsid w:val="00E45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0c5c05-d9db-4dac-919e-33fa97c2c359">
      <Terms xmlns="http://schemas.microsoft.com/office/infopath/2007/PartnerControls"/>
    </lcf76f155ced4ddcb4097134ff3c332f>
    <TaxCatchAll xmlns="3058a51c-ebf3-45da-a46e-4c7994461d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8D81CF50400842823902D055956492" ma:contentTypeVersion="18" ma:contentTypeDescription="Create a new document." ma:contentTypeScope="" ma:versionID="5c6d076d72aaec35d3609bf85ed56971">
  <xsd:schema xmlns:xsd="http://www.w3.org/2001/XMLSchema" xmlns:xs="http://www.w3.org/2001/XMLSchema" xmlns:p="http://schemas.microsoft.com/office/2006/metadata/properties" xmlns:ns2="660c5c05-d9db-4dac-919e-33fa97c2c359" xmlns:ns3="3058a51c-ebf3-45da-a46e-4c7994461d52" targetNamespace="http://schemas.microsoft.com/office/2006/metadata/properties" ma:root="true" ma:fieldsID="4406a776842ead328decb8ec6930f1e0" ns2:_="" ns3:_="">
    <xsd:import namespace="660c5c05-d9db-4dac-919e-33fa97c2c359"/>
    <xsd:import namespace="3058a51c-ebf3-45da-a46e-4c7994461d52"/>
    <xsd:element name="properties">
      <xsd:complexType>
        <xsd:sequence>
          <xsd:element name="documentManagement">
            <xsd:complexType>
              <xsd:all>
                <xsd:element ref="ns2:MediaServiceKeyPoints" minOccurs="0"/>
                <xsd:element ref="ns2:MediaServiceOC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c5c05-d9db-4dac-919e-33fa97c2c359" elementFormDefault="qualified">
    <xsd:import namespace="http://schemas.microsoft.com/office/2006/documentManagement/types"/>
    <xsd:import namespace="http://schemas.microsoft.com/office/infopath/2007/PartnerControls"/>
    <xsd:element name="MediaServiceKeyPoints" ma:index="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0657dfa-f651-4b50-94d5-3bd51943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8a51c-ebf3-45da-a46e-4c7994461d5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92ae894-e8fc-4441-a47c-de32c513598a}" ma:internalName="TaxCatchAll" ma:showField="CatchAllData" ma:web="3058a51c-ebf3-45da-a46e-4c7994461d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1E8F8-C31C-4D63-A687-B7688E481B5C}">
  <ds:schemaRefs>
    <ds:schemaRef ds:uri="http://schemas.microsoft.com/office/2006/metadata/properties"/>
    <ds:schemaRef ds:uri="http://schemas.microsoft.com/office/infopath/2007/PartnerControls"/>
    <ds:schemaRef ds:uri="660c5c05-d9db-4dac-919e-33fa97c2c359"/>
    <ds:schemaRef ds:uri="3058a51c-ebf3-45da-a46e-4c7994461d52"/>
  </ds:schemaRefs>
</ds:datastoreItem>
</file>

<file path=customXml/itemProps2.xml><?xml version="1.0" encoding="utf-8"?>
<ds:datastoreItem xmlns:ds="http://schemas.openxmlformats.org/officeDocument/2006/customXml" ds:itemID="{C022151C-F51B-4148-9472-0A98F9DA5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60406-71C3-4CEA-85CC-33F47975A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c5c05-d9db-4dac-919e-33fa97c2c359"/>
    <ds:schemaRef ds:uri="3058a51c-ebf3-45da-a46e-4c7994461d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07B1308-3338-42FF-9F97-E28E80F32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MICAH Projects</Company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dan.cosgrove</dc:creator>
  <cp:lastModifiedBy>Maria Corbett</cp:lastModifiedBy>
  <cp:revision>25</cp:revision>
  <cp:lastPrinted>2010-09-30T05:24:00Z</cp:lastPrinted>
  <dcterms:created xsi:type="dcterms:W3CDTF">2020-03-09T07:33:00Z</dcterms:created>
  <dcterms:modified xsi:type="dcterms:W3CDTF">2025-04-23T03:51:00Z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0x0101007F8D81CF50400842823902D055956492</vt:lpwstr>
  </property>
  <property fmtid="{D5CDD505-2E9C-101B-9397-08002B2CF9AE}" pid="3" name="MediaServiceImageTags">
    <vt:lpwstr/>
  </property>
</Properties>
</file>