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ABAF6" w14:textId="3B4F09E4" w:rsidR="00854302" w:rsidRPr="003505BB" w:rsidRDefault="00106390" w:rsidP="003505BB">
      <w:pPr>
        <w:pStyle w:val="CGQH1"/>
      </w:pPr>
      <w:r w:rsidRPr="003505BB">
        <w:t xml:space="preserve">How to </w:t>
      </w:r>
      <w:r w:rsidR="00854302" w:rsidRPr="003505BB">
        <w:t xml:space="preserve">make a Complaint, </w:t>
      </w:r>
      <w:r w:rsidR="00076FEF">
        <w:t>a</w:t>
      </w:r>
      <w:r w:rsidR="00854302" w:rsidRPr="003505BB">
        <w:t xml:space="preserve">ppeal a decision, </w:t>
      </w:r>
      <w:r w:rsidR="00975AD0" w:rsidRPr="003505BB">
        <w:t>pay a</w:t>
      </w:r>
      <w:r w:rsidR="00854302" w:rsidRPr="003505BB">
        <w:t xml:space="preserve"> Compliment or</w:t>
      </w:r>
      <w:r w:rsidR="00975AD0" w:rsidRPr="003505BB">
        <w:t xml:space="preserve"> provide</w:t>
      </w:r>
      <w:r w:rsidR="00854302" w:rsidRPr="003505BB">
        <w:t xml:space="preserve"> Feedback </w:t>
      </w:r>
      <w:r w:rsidR="00975AD0" w:rsidRPr="003505BB">
        <w:t>to</w:t>
      </w:r>
      <w:r w:rsidR="00854302" w:rsidRPr="003505BB">
        <w:t xml:space="preserve"> </w:t>
      </w:r>
      <w:r w:rsidR="00975AD0" w:rsidRPr="003505BB">
        <w:t>Common Ground Queensland</w:t>
      </w:r>
    </w:p>
    <w:p w14:paraId="6D56A80D" w14:textId="56E61669" w:rsidR="00D53E4A" w:rsidRDefault="00D53E4A" w:rsidP="00A03F0E">
      <w:pPr>
        <w:rPr>
          <w:lang w:eastAsia="en-AU"/>
        </w:rPr>
      </w:pPr>
      <w:r w:rsidRPr="00D53E4A">
        <w:rPr>
          <w:lang w:eastAsia="en-AU"/>
        </w:rPr>
        <w:t>This fact sheet is to help tenants of Common Ground Queensland (CGQ) understand our</w:t>
      </w:r>
      <w:r w:rsidR="00772279">
        <w:rPr>
          <w:lang w:eastAsia="en-AU"/>
        </w:rPr>
        <w:br/>
      </w:r>
      <w:r w:rsidRPr="00D53E4A">
        <w:rPr>
          <w:lang w:eastAsia="en-AU"/>
        </w:rPr>
        <w:t>Complaints, Compliments, Appeals and Feedback process.</w:t>
      </w:r>
    </w:p>
    <w:p w14:paraId="28C395D1" w14:textId="7A175CF9" w:rsidR="009B2522" w:rsidRDefault="00D053F8" w:rsidP="00A03F0E">
      <w:pPr>
        <w:rPr>
          <w:lang w:eastAsia="en-AU"/>
        </w:rPr>
      </w:pPr>
      <w:r>
        <w:rPr>
          <w:lang w:eastAsia="en-AU"/>
        </w:rPr>
        <w:t>This process does not include requests for maintenance. Maintenance requests are not acknowledged as a complaint unless it is a complaint about the service of the maintenance.</w:t>
      </w:r>
    </w:p>
    <w:p w14:paraId="1D099F6F" w14:textId="3EFFBBA6" w:rsidR="00191C5A" w:rsidRPr="001C1380" w:rsidRDefault="00191C5A" w:rsidP="001C1380">
      <w:pPr>
        <w:pStyle w:val="CGQH2"/>
      </w:pPr>
      <w:r w:rsidRPr="001C1380">
        <w:t>Definitions</w:t>
      </w:r>
    </w:p>
    <w:p w14:paraId="49670F33" w14:textId="77777777" w:rsidR="0007642D" w:rsidRPr="00E85C47" w:rsidRDefault="0007642D" w:rsidP="00E85C47">
      <w:pPr>
        <w:pStyle w:val="ListParagraph"/>
        <w:numPr>
          <w:ilvl w:val="0"/>
          <w:numId w:val="12"/>
        </w:numPr>
        <w:rPr>
          <w:rStyle w:val="oypena"/>
          <w:rFonts w:cs="Arial"/>
          <w:color w:val="000000"/>
        </w:rPr>
      </w:pPr>
      <w:r w:rsidRPr="00E85C47">
        <w:rPr>
          <w:rStyle w:val="oypena"/>
          <w:rFonts w:cs="Arial"/>
          <w:color w:val="000000"/>
        </w:rPr>
        <w:t xml:space="preserve">A </w:t>
      </w:r>
      <w:r w:rsidRPr="00E85C47">
        <w:rPr>
          <w:rStyle w:val="oypena"/>
          <w:rFonts w:cs="Arial"/>
          <w:b/>
          <w:bCs/>
          <w:color w:val="000000"/>
        </w:rPr>
        <w:t>compliment</w:t>
      </w:r>
      <w:r w:rsidRPr="00E85C47">
        <w:rPr>
          <w:rStyle w:val="oypena"/>
          <w:rFonts w:cs="Arial"/>
          <w:color w:val="000000"/>
        </w:rPr>
        <w:t xml:space="preserve"> is when you are happy with a part of CGQ’s service and want to inform us.</w:t>
      </w:r>
    </w:p>
    <w:p w14:paraId="477BF6FA" w14:textId="218D6BA3" w:rsidR="000F6098" w:rsidRPr="00E85C47" w:rsidRDefault="000F6098" w:rsidP="00E85C47">
      <w:pPr>
        <w:pStyle w:val="ListParagraph"/>
        <w:numPr>
          <w:ilvl w:val="0"/>
          <w:numId w:val="12"/>
        </w:numPr>
        <w:rPr>
          <w:rStyle w:val="oypena"/>
          <w:rFonts w:cs="Arial"/>
          <w:color w:val="000000"/>
        </w:rPr>
      </w:pPr>
      <w:r w:rsidRPr="00E85C47">
        <w:rPr>
          <w:rStyle w:val="oypena"/>
          <w:rFonts w:cs="Arial"/>
          <w:color w:val="000000"/>
        </w:rPr>
        <w:t xml:space="preserve">A </w:t>
      </w:r>
      <w:r w:rsidRPr="00E85C47">
        <w:rPr>
          <w:rStyle w:val="oypena"/>
          <w:rFonts w:cs="Arial"/>
          <w:b/>
          <w:bCs/>
          <w:color w:val="000000"/>
        </w:rPr>
        <w:t>complaint</w:t>
      </w:r>
      <w:r w:rsidRPr="00E85C47">
        <w:rPr>
          <w:rStyle w:val="oypena"/>
          <w:rFonts w:cs="Arial"/>
          <w:color w:val="000000"/>
        </w:rPr>
        <w:t xml:space="preserve"> is when you are unhappy with a part of CGQ’s service. </w:t>
      </w:r>
    </w:p>
    <w:p w14:paraId="1911A104" w14:textId="5BA081B8" w:rsidR="00D05FB9" w:rsidRPr="00E85C47" w:rsidRDefault="00D05FB9" w:rsidP="00E85C47">
      <w:pPr>
        <w:pStyle w:val="ListParagraph"/>
        <w:numPr>
          <w:ilvl w:val="0"/>
          <w:numId w:val="12"/>
        </w:numPr>
        <w:rPr>
          <w:rFonts w:cs="Arial"/>
          <w:b/>
          <w:bCs/>
        </w:rPr>
      </w:pPr>
      <w:r w:rsidRPr="00E85C47">
        <w:rPr>
          <w:rFonts w:cs="Arial"/>
        </w:rPr>
        <w:t xml:space="preserve">An </w:t>
      </w:r>
      <w:r w:rsidRPr="00E85C47">
        <w:rPr>
          <w:rFonts w:cs="Arial"/>
          <w:b/>
          <w:bCs/>
        </w:rPr>
        <w:t xml:space="preserve">appeal </w:t>
      </w:r>
      <w:r w:rsidRPr="00E85C47">
        <w:rPr>
          <w:rFonts w:cs="Arial"/>
        </w:rPr>
        <w:t>is when you are not happy with a decision CGQ has made to resolve your</w:t>
      </w:r>
      <w:r w:rsidR="00E85C47" w:rsidRPr="00E85C47">
        <w:rPr>
          <w:rFonts w:cs="Arial"/>
        </w:rPr>
        <w:t xml:space="preserve"> </w:t>
      </w:r>
      <w:r w:rsidRPr="00E85C47">
        <w:rPr>
          <w:rFonts w:cs="Arial"/>
        </w:rPr>
        <w:t>complaint.</w:t>
      </w:r>
      <w:r w:rsidRPr="00E85C47">
        <w:rPr>
          <w:rFonts w:cs="Arial"/>
          <w:b/>
          <w:bCs/>
        </w:rPr>
        <w:t xml:space="preserve"> </w:t>
      </w:r>
    </w:p>
    <w:p w14:paraId="685ACF9F" w14:textId="77777777" w:rsidR="00E85C47" w:rsidRPr="00E85C47" w:rsidRDefault="00E85C47" w:rsidP="00E85C47">
      <w:pPr>
        <w:pStyle w:val="ListParagraph"/>
        <w:numPr>
          <w:ilvl w:val="0"/>
          <w:numId w:val="12"/>
        </w:numPr>
        <w:rPr>
          <w:rFonts w:cs="Arial"/>
        </w:rPr>
      </w:pPr>
      <w:r w:rsidRPr="00E85C47">
        <w:rPr>
          <w:rFonts w:cs="Arial"/>
          <w:b/>
          <w:bCs/>
        </w:rPr>
        <w:t xml:space="preserve">Feedback </w:t>
      </w:r>
      <w:r w:rsidRPr="00E85C47">
        <w:rPr>
          <w:rFonts w:cs="Arial"/>
        </w:rPr>
        <w:t xml:space="preserve">is an observation or suggestion where you are not expecting an official response. </w:t>
      </w:r>
    </w:p>
    <w:p w14:paraId="687D8E24" w14:textId="7ACEBDF8" w:rsidR="00A03F0E" w:rsidRPr="002213AD" w:rsidRDefault="00A03F0E" w:rsidP="00E85C47">
      <w:pPr>
        <w:pStyle w:val="CGQH2"/>
      </w:pPr>
      <w:r w:rsidRPr="002213AD">
        <w:t>Our Commitment</w:t>
      </w:r>
      <w:r w:rsidR="00854302" w:rsidRPr="002213AD">
        <w:t xml:space="preserve"> to You</w:t>
      </w:r>
    </w:p>
    <w:p w14:paraId="3DDB636D" w14:textId="3636EEE0" w:rsidR="00A6525B" w:rsidRPr="00A6525B" w:rsidRDefault="00A6525B" w:rsidP="00A6525B">
      <w:r w:rsidRPr="00A6525B">
        <w:t xml:space="preserve">We are committed to facilitating your right as a tenant to raise concerns about our </w:t>
      </w:r>
      <w:proofErr w:type="gramStart"/>
      <w:r w:rsidRPr="00A6525B">
        <w:t>service,</w:t>
      </w:r>
      <w:proofErr w:type="gramEnd"/>
      <w:r w:rsidRPr="00A6525B">
        <w:t xml:space="preserve"> to appeal a decision we have made that directly affects you, and to pay us a compliment when we’ve done well. </w:t>
      </w:r>
    </w:p>
    <w:p w14:paraId="0BB13A70" w14:textId="77777777" w:rsidR="00A6525B" w:rsidRDefault="00A6525B" w:rsidP="00A6525B">
      <w:pPr>
        <w:rPr>
          <w:b/>
          <w:bCs/>
        </w:rPr>
      </w:pPr>
      <w:r w:rsidRPr="00A6525B">
        <w:t xml:space="preserve">Our staff take all complaints seriously and are committed to doing everything in our power to work with you to resolve them. We </w:t>
      </w:r>
      <w:proofErr w:type="gramStart"/>
      <w:r w:rsidRPr="00A6525B">
        <w:t>give consideration to</w:t>
      </w:r>
      <w:proofErr w:type="gramEnd"/>
      <w:r w:rsidRPr="00A6525B">
        <w:t xml:space="preserve"> all feedback because it is the best way for us to identify improvements in the services we provide for you. We especially encourage compliments because it is valuable in helping us identify what we are doing well. </w:t>
      </w:r>
    </w:p>
    <w:p w14:paraId="753D84A5" w14:textId="7476C6B0" w:rsidR="00B72C3E" w:rsidRPr="002213AD" w:rsidRDefault="00B72C3E" w:rsidP="00A6525B">
      <w:pPr>
        <w:pStyle w:val="CGQH2"/>
      </w:pPr>
      <w:r w:rsidRPr="002213AD">
        <w:t>Your Rights as a Tenant</w:t>
      </w:r>
    </w:p>
    <w:p w14:paraId="7D932DD1" w14:textId="684BD020" w:rsidR="00A03F0E" w:rsidRDefault="00A03F0E" w:rsidP="00A03F0E">
      <w:pPr>
        <w:rPr>
          <w:lang w:eastAsia="en-AU"/>
        </w:rPr>
      </w:pPr>
      <w:r>
        <w:rPr>
          <w:lang w:eastAsia="en-AU"/>
        </w:rPr>
        <w:t>As a tenant, you have the right to:</w:t>
      </w:r>
    </w:p>
    <w:p w14:paraId="5C6DB1BC" w14:textId="77777777" w:rsidR="000929A3" w:rsidRPr="000929A3" w:rsidRDefault="000929A3" w:rsidP="000929A3">
      <w:pPr>
        <w:pStyle w:val="ListParagraph"/>
        <w:numPr>
          <w:ilvl w:val="0"/>
          <w:numId w:val="14"/>
        </w:numPr>
        <w:rPr>
          <w:lang w:eastAsia="en-AU"/>
        </w:rPr>
      </w:pPr>
      <w:r w:rsidRPr="000929A3">
        <w:rPr>
          <w:lang w:eastAsia="en-AU"/>
        </w:rPr>
        <w:t>Have your complaint dealt with confidentially and objectively</w:t>
      </w:r>
    </w:p>
    <w:p w14:paraId="77484F16" w14:textId="6FB2720A" w:rsidR="000929A3" w:rsidRPr="000929A3" w:rsidRDefault="000929A3" w:rsidP="000929A3">
      <w:pPr>
        <w:pStyle w:val="ListParagraph"/>
        <w:numPr>
          <w:ilvl w:val="0"/>
          <w:numId w:val="14"/>
        </w:numPr>
        <w:rPr>
          <w:lang w:eastAsia="en-AU"/>
        </w:rPr>
      </w:pPr>
      <w:r w:rsidRPr="000929A3">
        <w:rPr>
          <w:lang w:eastAsia="en-AU"/>
        </w:rPr>
        <w:t xml:space="preserve">Ask for help in lodging a formal complaint from the support provider or an external advocate </w:t>
      </w:r>
    </w:p>
    <w:p w14:paraId="2C0EFE5F" w14:textId="77777777" w:rsidR="000929A3" w:rsidRPr="000929A3" w:rsidRDefault="000929A3" w:rsidP="000929A3">
      <w:pPr>
        <w:pStyle w:val="ListParagraph"/>
        <w:numPr>
          <w:ilvl w:val="0"/>
          <w:numId w:val="14"/>
        </w:numPr>
        <w:rPr>
          <w:lang w:eastAsia="en-AU"/>
        </w:rPr>
      </w:pPr>
      <w:r w:rsidRPr="000929A3">
        <w:rPr>
          <w:lang w:eastAsia="en-AU"/>
        </w:rPr>
        <w:t>Request a support person to accompany you to any meetings</w:t>
      </w:r>
    </w:p>
    <w:p w14:paraId="56415442" w14:textId="77777777" w:rsidR="000929A3" w:rsidRPr="000929A3" w:rsidRDefault="000929A3" w:rsidP="000929A3">
      <w:pPr>
        <w:pStyle w:val="ListParagraph"/>
        <w:numPr>
          <w:ilvl w:val="0"/>
          <w:numId w:val="14"/>
        </w:numPr>
        <w:rPr>
          <w:lang w:eastAsia="en-AU"/>
        </w:rPr>
      </w:pPr>
      <w:r w:rsidRPr="000929A3">
        <w:rPr>
          <w:lang w:eastAsia="en-AU"/>
        </w:rPr>
        <w:t>Have access to interpreting and translating services</w:t>
      </w:r>
    </w:p>
    <w:p w14:paraId="234A4856" w14:textId="77777777" w:rsidR="000929A3" w:rsidRPr="000929A3" w:rsidRDefault="000929A3" w:rsidP="000929A3">
      <w:pPr>
        <w:pStyle w:val="ListParagraph"/>
        <w:numPr>
          <w:ilvl w:val="0"/>
          <w:numId w:val="14"/>
        </w:numPr>
        <w:rPr>
          <w:lang w:eastAsia="en-AU"/>
        </w:rPr>
      </w:pPr>
      <w:r w:rsidRPr="000929A3">
        <w:rPr>
          <w:lang w:eastAsia="en-AU"/>
        </w:rPr>
        <w:t>Be given information on tenant advice and advocacy services</w:t>
      </w:r>
    </w:p>
    <w:p w14:paraId="73C5D558" w14:textId="77777777" w:rsidR="000929A3" w:rsidRPr="000929A3" w:rsidRDefault="000929A3" w:rsidP="000929A3">
      <w:pPr>
        <w:pStyle w:val="ListParagraph"/>
        <w:numPr>
          <w:ilvl w:val="0"/>
          <w:numId w:val="14"/>
        </w:numPr>
        <w:rPr>
          <w:lang w:eastAsia="en-AU"/>
        </w:rPr>
      </w:pPr>
      <w:r w:rsidRPr="000929A3">
        <w:rPr>
          <w:lang w:eastAsia="en-AU"/>
        </w:rPr>
        <w:t>Lodge an appeal if you are not satisfied with the outcome of your complaint</w:t>
      </w:r>
    </w:p>
    <w:p w14:paraId="07968377" w14:textId="77777777" w:rsidR="000929A3" w:rsidRPr="000929A3" w:rsidRDefault="000929A3" w:rsidP="000929A3">
      <w:pPr>
        <w:pStyle w:val="ListParagraph"/>
        <w:numPr>
          <w:ilvl w:val="0"/>
          <w:numId w:val="14"/>
        </w:numPr>
        <w:rPr>
          <w:lang w:eastAsia="en-AU"/>
        </w:rPr>
      </w:pPr>
      <w:r w:rsidRPr="000929A3">
        <w:rPr>
          <w:lang w:eastAsia="en-AU"/>
        </w:rPr>
        <w:t>Be informed of the resolution of your complaint in a timely manner</w:t>
      </w:r>
    </w:p>
    <w:p w14:paraId="0649B8DF" w14:textId="77777777" w:rsidR="00DF309B" w:rsidRDefault="00DF309B">
      <w:pPr>
        <w:spacing w:line="259" w:lineRule="auto"/>
        <w:rPr>
          <w:rFonts w:cs="Arial"/>
          <w:b/>
          <w:bCs/>
          <w:sz w:val="24"/>
          <w:szCs w:val="24"/>
          <w:lang w:eastAsia="en-AU"/>
        </w:rPr>
      </w:pPr>
      <w:r>
        <w:br w:type="page"/>
      </w:r>
    </w:p>
    <w:p w14:paraId="7DD272B5" w14:textId="4EFE2120" w:rsidR="006D430A" w:rsidRPr="001C1380" w:rsidRDefault="006D430A" w:rsidP="001C1380">
      <w:pPr>
        <w:pStyle w:val="CGQH2"/>
      </w:pPr>
      <w:r w:rsidRPr="001C1380">
        <w:lastRenderedPageBreak/>
        <w:t xml:space="preserve">What </w:t>
      </w:r>
      <w:r w:rsidR="000F6098" w:rsidRPr="001C1380">
        <w:t>CGQ</w:t>
      </w:r>
      <w:r w:rsidRPr="001C1380">
        <w:t xml:space="preserve"> </w:t>
      </w:r>
      <w:r w:rsidR="000F6098" w:rsidRPr="001C1380">
        <w:t>Can and Cannot Do</w:t>
      </w:r>
    </w:p>
    <w:p w14:paraId="655C00F4" w14:textId="72FB2B2D" w:rsidR="007F3D9A" w:rsidRPr="007F3D9A" w:rsidRDefault="007F3D9A" w:rsidP="007F3D9A">
      <w:pPr>
        <w:rPr>
          <w:lang w:eastAsia="en-AU"/>
        </w:rPr>
      </w:pPr>
      <w:r w:rsidRPr="007F3D9A">
        <w:rPr>
          <w:lang w:eastAsia="en-AU"/>
        </w:rPr>
        <w:t xml:space="preserve">Tenant and property manager behaviour in Queensland is governed by housing laws. These laws outline the rights and responsibilities of tenants and property managers. </w:t>
      </w:r>
    </w:p>
    <w:p w14:paraId="63924067" w14:textId="159D8FCC" w:rsidR="00257470" w:rsidRDefault="007F3D9A" w:rsidP="007F3D9A">
      <w:pPr>
        <w:rPr>
          <w:lang w:eastAsia="en-AU"/>
        </w:rPr>
      </w:pPr>
      <w:r w:rsidRPr="007F3D9A">
        <w:rPr>
          <w:lang w:eastAsia="en-AU"/>
        </w:rPr>
        <w:t>This means there are situations where our staff can respond directly; and other situations where we have no authority to respond because it is the responsibility of external organisations such as the police or council.  In the latter situations, all we can do is try to influence the best possible outcome.</w:t>
      </w:r>
    </w:p>
    <w:p w14:paraId="0AE52446" w14:textId="7A3BED13" w:rsidR="00B87A1E" w:rsidRPr="00B87A1E" w:rsidRDefault="00B87A1E" w:rsidP="00B87A1E">
      <w:pPr>
        <w:pStyle w:val="CGQHL1"/>
      </w:pPr>
      <w:r w:rsidRPr="00B87A1E">
        <w:t>What we are responsible for:</w:t>
      </w:r>
    </w:p>
    <w:p w14:paraId="3DDEC709" w14:textId="77777777" w:rsidR="00B87A1E" w:rsidRPr="00B87A1E" w:rsidRDefault="00B87A1E" w:rsidP="00B87A1E">
      <w:pPr>
        <w:pStyle w:val="ListParagraph"/>
        <w:numPr>
          <w:ilvl w:val="0"/>
          <w:numId w:val="27"/>
        </w:numPr>
        <w:rPr>
          <w:b/>
          <w:bCs/>
          <w:lang w:eastAsia="en-AU"/>
        </w:rPr>
      </w:pPr>
      <w:r w:rsidRPr="00B87A1E">
        <w:rPr>
          <w:lang w:eastAsia="en-AU"/>
        </w:rPr>
        <w:t>Rent payments and utility arrangements</w:t>
      </w:r>
    </w:p>
    <w:p w14:paraId="6459E2F8" w14:textId="68D13B59" w:rsidR="00B87A1E" w:rsidRPr="00B87A1E" w:rsidRDefault="00B87A1E" w:rsidP="00B87A1E">
      <w:pPr>
        <w:pStyle w:val="ListParagraph"/>
        <w:numPr>
          <w:ilvl w:val="0"/>
          <w:numId w:val="27"/>
        </w:numPr>
        <w:rPr>
          <w:lang w:eastAsia="en-AU"/>
        </w:rPr>
      </w:pPr>
      <w:r w:rsidRPr="00B87A1E">
        <w:rPr>
          <w:lang w:eastAsia="en-AU"/>
        </w:rPr>
        <w:t>Maintenance of units and common areas</w:t>
      </w:r>
    </w:p>
    <w:p w14:paraId="67651F5B" w14:textId="77777777" w:rsidR="00B87A1E" w:rsidRPr="00B87A1E" w:rsidRDefault="00B87A1E" w:rsidP="00B87A1E">
      <w:pPr>
        <w:pStyle w:val="ListParagraph"/>
        <w:numPr>
          <w:ilvl w:val="0"/>
          <w:numId w:val="27"/>
        </w:numPr>
        <w:rPr>
          <w:b/>
          <w:bCs/>
          <w:lang w:eastAsia="en-AU"/>
        </w:rPr>
      </w:pPr>
      <w:r>
        <w:rPr>
          <w:lang w:eastAsia="en-AU"/>
        </w:rPr>
        <w:t xml:space="preserve">Cleanliness and condition and security of the building </w:t>
      </w:r>
    </w:p>
    <w:p w14:paraId="2D70C90A" w14:textId="77777777" w:rsidR="00B87A1E" w:rsidRPr="00B87A1E" w:rsidRDefault="00B87A1E" w:rsidP="00B87A1E">
      <w:pPr>
        <w:pStyle w:val="ListParagraph"/>
        <w:numPr>
          <w:ilvl w:val="0"/>
          <w:numId w:val="27"/>
        </w:numPr>
        <w:rPr>
          <w:b/>
          <w:bCs/>
          <w:lang w:eastAsia="en-AU"/>
        </w:rPr>
      </w:pPr>
      <w:r>
        <w:rPr>
          <w:lang w:eastAsia="en-AU"/>
        </w:rPr>
        <w:t>Assisting tenants to sustain their tenancy</w:t>
      </w:r>
    </w:p>
    <w:p w14:paraId="5ADD5C73" w14:textId="509165E7" w:rsidR="00B87A1E" w:rsidRPr="00B87A1E" w:rsidRDefault="00B87A1E" w:rsidP="00B87A1E">
      <w:pPr>
        <w:pStyle w:val="ListParagraph"/>
        <w:numPr>
          <w:ilvl w:val="0"/>
          <w:numId w:val="27"/>
        </w:numPr>
        <w:rPr>
          <w:b/>
          <w:bCs/>
          <w:lang w:eastAsia="en-AU"/>
        </w:rPr>
      </w:pPr>
      <w:r>
        <w:rPr>
          <w:lang w:eastAsia="en-AU"/>
        </w:rPr>
        <w:t xml:space="preserve">Referring tenants in need of support to </w:t>
      </w:r>
      <w:r w:rsidR="003F2391">
        <w:rPr>
          <w:lang w:eastAsia="en-AU"/>
        </w:rPr>
        <w:t>the support provider</w:t>
      </w:r>
    </w:p>
    <w:p w14:paraId="07B6B0BE" w14:textId="77777777" w:rsidR="00B87A1E" w:rsidRDefault="00B87A1E" w:rsidP="00B87A1E">
      <w:pPr>
        <w:pStyle w:val="CGQHL1"/>
      </w:pPr>
      <w:r w:rsidRPr="002213AD">
        <w:t xml:space="preserve">What </w:t>
      </w:r>
      <w:r>
        <w:t xml:space="preserve">we can </w:t>
      </w:r>
      <w:r w:rsidRPr="002213AD">
        <w:t>do:</w:t>
      </w:r>
    </w:p>
    <w:p w14:paraId="6B48634B" w14:textId="77777777" w:rsidR="00B87A1E" w:rsidRPr="00B87A1E" w:rsidRDefault="00B87A1E" w:rsidP="00B87A1E">
      <w:pPr>
        <w:pStyle w:val="ListParagraph"/>
        <w:numPr>
          <w:ilvl w:val="0"/>
          <w:numId w:val="28"/>
        </w:numPr>
        <w:rPr>
          <w:b/>
          <w:bCs/>
        </w:rPr>
      </w:pPr>
      <w:r>
        <w:t>U</w:t>
      </w:r>
      <w:r w:rsidRPr="00B54737">
        <w:t>s</w:t>
      </w:r>
      <w:r>
        <w:t>e</w:t>
      </w:r>
      <w:r w:rsidRPr="00B54737">
        <w:t xml:space="preserve"> </w:t>
      </w:r>
      <w:r>
        <w:t xml:space="preserve">Sustaining </w:t>
      </w:r>
      <w:r w:rsidRPr="00B54737">
        <w:t xml:space="preserve">Tenancy Plans and/or Acceptable Behaviour Agreements </w:t>
      </w:r>
      <w:r>
        <w:t>to work with tenants and their behavioural issues</w:t>
      </w:r>
    </w:p>
    <w:p w14:paraId="53161FB1" w14:textId="77777777" w:rsidR="00B87A1E" w:rsidRPr="00B87A1E" w:rsidRDefault="00B87A1E" w:rsidP="00B87A1E">
      <w:pPr>
        <w:pStyle w:val="ListParagraph"/>
        <w:numPr>
          <w:ilvl w:val="0"/>
          <w:numId w:val="28"/>
        </w:numPr>
        <w:rPr>
          <w:b/>
          <w:bCs/>
        </w:rPr>
      </w:pPr>
      <w:r>
        <w:t>Take formal action in accordance with the Rental Tenancies and Rooming Accommodation Act (2008) Act in relation to on-going and repeated behavioural issues</w:t>
      </w:r>
    </w:p>
    <w:p w14:paraId="508BAD4C" w14:textId="77777777" w:rsidR="00B87A1E" w:rsidRPr="00B87A1E" w:rsidRDefault="00B87A1E" w:rsidP="00B87A1E">
      <w:pPr>
        <w:pStyle w:val="ListParagraph"/>
        <w:numPr>
          <w:ilvl w:val="0"/>
          <w:numId w:val="28"/>
        </w:numPr>
        <w:rPr>
          <w:bCs/>
        </w:rPr>
      </w:pPr>
      <w:r>
        <w:t>Take</w:t>
      </w:r>
      <w:r w:rsidRPr="00B54737">
        <w:t xml:space="preserve"> action to end a tenancy wh</w:t>
      </w:r>
      <w:r>
        <w:t>en</w:t>
      </w:r>
      <w:r w:rsidRPr="00B54737">
        <w:t xml:space="preserve"> behaviour is dangerous</w:t>
      </w:r>
      <w:r>
        <w:t xml:space="preserve">. </w:t>
      </w:r>
    </w:p>
    <w:p w14:paraId="20BB7788" w14:textId="36F0D798" w:rsidR="00B87A1E" w:rsidRPr="00B87A1E" w:rsidRDefault="00B87A1E" w:rsidP="00B87A1E">
      <w:pPr>
        <w:pStyle w:val="ListParagraph"/>
        <w:numPr>
          <w:ilvl w:val="0"/>
          <w:numId w:val="28"/>
        </w:numPr>
        <w:rPr>
          <w:bCs/>
        </w:rPr>
      </w:pPr>
      <w:r>
        <w:t>Assist in maintaining safety in the building through visitor management systems</w:t>
      </w:r>
    </w:p>
    <w:p w14:paraId="693B82F3" w14:textId="77777777" w:rsidR="00B87A1E" w:rsidRDefault="00B87A1E" w:rsidP="00B87A1E">
      <w:pPr>
        <w:pStyle w:val="CGQHL1"/>
        <w:rPr>
          <w:bCs/>
        </w:rPr>
      </w:pPr>
      <w:r w:rsidRPr="002213AD">
        <w:t>What we are not responsible for:</w:t>
      </w:r>
    </w:p>
    <w:p w14:paraId="31E88E06" w14:textId="3AD471AD" w:rsidR="00B87A1E" w:rsidRPr="00B87A1E" w:rsidRDefault="00B87A1E" w:rsidP="00B87A1E">
      <w:pPr>
        <w:pStyle w:val="ListParagraph"/>
        <w:numPr>
          <w:ilvl w:val="0"/>
          <w:numId w:val="29"/>
        </w:numPr>
        <w:rPr>
          <w:b/>
          <w:bCs/>
        </w:rPr>
      </w:pPr>
      <w:r w:rsidRPr="002213AD">
        <w:t>A</w:t>
      </w:r>
      <w:r>
        <w:t>nti-social behaviour of a criminal nature including theft, violence</w:t>
      </w:r>
      <w:r w:rsidR="006C4A87">
        <w:t xml:space="preserve"> </w:t>
      </w:r>
      <w:r>
        <w:t xml:space="preserve">or threats of violence </w:t>
      </w:r>
    </w:p>
    <w:p w14:paraId="419D46F6" w14:textId="77777777" w:rsidR="00B87A1E" w:rsidRPr="00B87A1E" w:rsidRDefault="00B87A1E" w:rsidP="00B87A1E">
      <w:pPr>
        <w:pStyle w:val="ListParagraph"/>
        <w:numPr>
          <w:ilvl w:val="0"/>
          <w:numId w:val="29"/>
        </w:numPr>
        <w:rPr>
          <w:b/>
          <w:bCs/>
        </w:rPr>
      </w:pPr>
      <w:r>
        <w:t xml:space="preserve">Drug or alcohol use in units </w:t>
      </w:r>
    </w:p>
    <w:p w14:paraId="49B8207C" w14:textId="77777777" w:rsidR="00B87A1E" w:rsidRPr="00B87A1E" w:rsidRDefault="00B87A1E" w:rsidP="00B87A1E">
      <w:pPr>
        <w:pStyle w:val="ListParagraph"/>
        <w:numPr>
          <w:ilvl w:val="0"/>
          <w:numId w:val="29"/>
        </w:numPr>
        <w:rPr>
          <w:b/>
          <w:bCs/>
        </w:rPr>
      </w:pPr>
      <w:r>
        <w:t xml:space="preserve">Disturbances or issues that occur outside the building </w:t>
      </w:r>
    </w:p>
    <w:p w14:paraId="6C13036A" w14:textId="77777777" w:rsidR="00B87A1E" w:rsidRDefault="00B87A1E" w:rsidP="00B87A1E">
      <w:pPr>
        <w:pStyle w:val="CGQHL1"/>
      </w:pPr>
      <w:r w:rsidRPr="00B87A1E">
        <w:t>What we can’t do:</w:t>
      </w:r>
    </w:p>
    <w:p w14:paraId="54802D3B" w14:textId="77777777" w:rsidR="00652523" w:rsidRPr="00652523" w:rsidRDefault="00652523" w:rsidP="00652523">
      <w:pPr>
        <w:pStyle w:val="ListParagraph"/>
        <w:numPr>
          <w:ilvl w:val="0"/>
          <w:numId w:val="30"/>
        </w:numPr>
        <w:rPr>
          <w:bCs/>
        </w:rPr>
      </w:pPr>
      <w:r>
        <w:t>Resolve tenant to tenant disputes</w:t>
      </w:r>
    </w:p>
    <w:p w14:paraId="54541031" w14:textId="77777777" w:rsidR="00652523" w:rsidRPr="00652523" w:rsidRDefault="00652523" w:rsidP="00652523">
      <w:pPr>
        <w:pStyle w:val="ListParagraph"/>
        <w:numPr>
          <w:ilvl w:val="0"/>
          <w:numId w:val="30"/>
        </w:numPr>
        <w:rPr>
          <w:bCs/>
        </w:rPr>
      </w:pPr>
      <w:r>
        <w:t>Control on-going noise disturbances from tenants, visitors or pets</w:t>
      </w:r>
    </w:p>
    <w:p w14:paraId="37FE06E3" w14:textId="77777777" w:rsidR="00652523" w:rsidRPr="00652523" w:rsidRDefault="00652523" w:rsidP="00652523">
      <w:pPr>
        <w:pStyle w:val="ListParagraph"/>
        <w:numPr>
          <w:ilvl w:val="0"/>
          <w:numId w:val="30"/>
        </w:numPr>
        <w:rPr>
          <w:bCs/>
        </w:rPr>
      </w:pPr>
      <w:r>
        <w:t xml:space="preserve">Interfere with the personal beliefs, habits, circumstances or attitudes of individual tenants </w:t>
      </w:r>
    </w:p>
    <w:p w14:paraId="41EBBE25" w14:textId="77777777" w:rsidR="00652523" w:rsidRDefault="00652523" w:rsidP="00652523">
      <w:pPr>
        <w:pStyle w:val="CGQHL1"/>
      </w:pPr>
      <w:r w:rsidRPr="002213AD">
        <w:t xml:space="preserve">What we </w:t>
      </w:r>
      <w:r>
        <w:t>can influence:</w:t>
      </w:r>
    </w:p>
    <w:p w14:paraId="74FF39D6" w14:textId="77777777" w:rsidR="003F2391" w:rsidRPr="003F2391" w:rsidRDefault="003F2391" w:rsidP="003F2391">
      <w:pPr>
        <w:pStyle w:val="ListParagraph"/>
        <w:numPr>
          <w:ilvl w:val="0"/>
          <w:numId w:val="31"/>
        </w:numPr>
        <w:rPr>
          <w:bCs/>
        </w:rPr>
      </w:pPr>
      <w:r>
        <w:t>General behaviour where it affects others in the community</w:t>
      </w:r>
    </w:p>
    <w:p w14:paraId="7E5ACEA9" w14:textId="6E3D0B24" w:rsidR="003F2391" w:rsidRPr="003F2391" w:rsidRDefault="003F2391" w:rsidP="003F2391">
      <w:pPr>
        <w:pStyle w:val="ListParagraph"/>
        <w:numPr>
          <w:ilvl w:val="0"/>
          <w:numId w:val="31"/>
        </w:numPr>
        <w:rPr>
          <w:b/>
          <w:lang w:eastAsia="en-AU"/>
        </w:rPr>
      </w:pPr>
      <w:r>
        <w:rPr>
          <w:lang w:eastAsia="en-AU"/>
        </w:rPr>
        <w:t>Engagement with tenants to identify issues and provide opportunities to work together to develop solutions to improve their housing</w:t>
      </w:r>
    </w:p>
    <w:p w14:paraId="3E610719" w14:textId="77777777" w:rsidR="00652523" w:rsidRDefault="00652523" w:rsidP="00652523">
      <w:pPr>
        <w:pStyle w:val="CGQHL1"/>
        <w:rPr>
          <w:bCs/>
        </w:rPr>
      </w:pPr>
    </w:p>
    <w:p w14:paraId="4CDB7926" w14:textId="2C80CDF8" w:rsidR="00640FB1" w:rsidRPr="0029319E" w:rsidRDefault="0065756F" w:rsidP="0029319E">
      <w:pPr>
        <w:pStyle w:val="CGQH2"/>
      </w:pPr>
      <w:r w:rsidRPr="0029319E">
        <w:lastRenderedPageBreak/>
        <w:t>Anti-social behaviour, disputes and issues within the building</w:t>
      </w:r>
    </w:p>
    <w:p w14:paraId="31DC6E7A" w14:textId="27314926" w:rsidR="00D4786B" w:rsidRDefault="0029319E" w:rsidP="003F2391">
      <w:r w:rsidRPr="0029319E">
        <w:t>If you experience disputes or behavioural issues within the building, we encourage you to contact concierge immediately so that, if the situation is resolvable, it can be resolved as soon as possible</w:t>
      </w:r>
      <w:r w:rsidR="003F2391">
        <w:t>.</w:t>
      </w:r>
    </w:p>
    <w:p w14:paraId="7DDF9326" w14:textId="57CAD422" w:rsidR="004B2FB6" w:rsidRDefault="004B2FB6" w:rsidP="003F2391">
      <w:pPr>
        <w:pStyle w:val="CGQH2"/>
      </w:pPr>
      <w:r>
        <w:t>Criminal activity or illegal behaviour</w:t>
      </w:r>
    </w:p>
    <w:p w14:paraId="792111F2" w14:textId="6469845D" w:rsidR="001F55BB" w:rsidRPr="001F55BB" w:rsidRDefault="001F55BB" w:rsidP="001F55BB">
      <w:pPr>
        <w:rPr>
          <w:lang w:eastAsia="en-AU"/>
        </w:rPr>
      </w:pPr>
      <w:r w:rsidRPr="001F55BB">
        <w:rPr>
          <w:lang w:eastAsia="en-AU"/>
        </w:rPr>
        <w:t xml:space="preserve">If you believe you are in immediate and urgent danger of being harmed or subjected to criminal activity, we strongly encourage our tenants to call Queensland Police Service at </w:t>
      </w:r>
      <w:r w:rsidRPr="00C57582">
        <w:rPr>
          <w:b/>
          <w:bCs/>
          <w:lang w:eastAsia="en-AU"/>
        </w:rPr>
        <w:t>000</w:t>
      </w:r>
      <w:r w:rsidRPr="001F55BB">
        <w:rPr>
          <w:lang w:eastAsia="en-AU"/>
        </w:rPr>
        <w:t xml:space="preserve">. All other criminal activity should be referred to Queensland Police through </w:t>
      </w:r>
      <w:proofErr w:type="spellStart"/>
      <w:r w:rsidRPr="001F55BB">
        <w:rPr>
          <w:lang w:eastAsia="en-AU"/>
        </w:rPr>
        <w:t>PoliceLink</w:t>
      </w:r>
      <w:proofErr w:type="spellEnd"/>
      <w:r w:rsidRPr="001F55BB">
        <w:rPr>
          <w:lang w:eastAsia="en-AU"/>
        </w:rPr>
        <w:t xml:space="preserve"> at </w:t>
      </w:r>
      <w:r w:rsidRPr="00C57582">
        <w:rPr>
          <w:b/>
          <w:bCs/>
          <w:lang w:eastAsia="en-AU"/>
        </w:rPr>
        <w:t>131 444</w:t>
      </w:r>
      <w:r w:rsidRPr="001F55BB">
        <w:rPr>
          <w:lang w:eastAsia="en-AU"/>
        </w:rPr>
        <w:t>.</w:t>
      </w:r>
    </w:p>
    <w:p w14:paraId="7DD459CB" w14:textId="77777777" w:rsidR="001F55BB" w:rsidRDefault="001F55BB" w:rsidP="001F55BB">
      <w:pPr>
        <w:rPr>
          <w:b/>
          <w:bCs/>
          <w:lang w:eastAsia="en-AU"/>
        </w:rPr>
      </w:pPr>
      <w:r w:rsidRPr="001F55BB">
        <w:rPr>
          <w:lang w:eastAsia="en-AU"/>
        </w:rPr>
        <w:t xml:space="preserve">Matters relating to on-going noise disturbances (including from people and pets) are subject to Brisbane City Council (BCC) by-laws and should be reported to Brisbane City Council on </w:t>
      </w:r>
      <w:r w:rsidRPr="00C57582">
        <w:rPr>
          <w:b/>
          <w:bCs/>
          <w:lang w:eastAsia="en-AU"/>
        </w:rPr>
        <w:t>07 3403 3888</w:t>
      </w:r>
      <w:r w:rsidRPr="001F55BB">
        <w:rPr>
          <w:lang w:eastAsia="en-AU"/>
        </w:rPr>
        <w:t>.</w:t>
      </w:r>
    </w:p>
    <w:p w14:paraId="1FD3E1F8" w14:textId="03D27FD9" w:rsidR="00106390" w:rsidRPr="009A5554" w:rsidRDefault="00717969" w:rsidP="00C57582">
      <w:pPr>
        <w:pStyle w:val="CGQH2"/>
      </w:pPr>
      <w:r>
        <w:t>Letting us know about a complaint, appeal, compliment or feedback</w:t>
      </w:r>
    </w:p>
    <w:p w14:paraId="3FA9513F" w14:textId="77777777" w:rsidR="00BC37B1" w:rsidRDefault="00BC37B1" w:rsidP="00BC37B1">
      <w:r w:rsidRPr="00BC37B1">
        <w:t>The best way to make a complaint, appeal a decision, provide feedback or give us a compliment is to complete a Tenant Form or, alternatively, let us know directly.</w:t>
      </w:r>
    </w:p>
    <w:p w14:paraId="477AA809" w14:textId="2D37DA98" w:rsidR="00DB4DE0" w:rsidRPr="00DB4DE0" w:rsidRDefault="00DB4DE0" w:rsidP="008D601B">
      <w:pPr>
        <w:pStyle w:val="ListParagraph"/>
        <w:numPr>
          <w:ilvl w:val="0"/>
          <w:numId w:val="25"/>
        </w:numPr>
        <w:rPr>
          <w:rStyle w:val="oypena"/>
        </w:rPr>
      </w:pPr>
      <w:r w:rsidRPr="009A5554">
        <w:rPr>
          <w:b/>
        </w:rPr>
        <w:t>In person</w:t>
      </w:r>
      <w:r>
        <w:t xml:space="preserve">: </w:t>
      </w:r>
      <w:r w:rsidR="00485E14" w:rsidRPr="00485E14">
        <w:t>You can ask concierge staff for a hard copy of the form, then put the completed form into the Tenant Forms Mailbox on the ground floor.</w:t>
      </w:r>
    </w:p>
    <w:p w14:paraId="79AE4CE9" w14:textId="01F5E90E" w:rsidR="00DB4DE0" w:rsidRPr="00DB4DE0" w:rsidRDefault="00DB4DE0" w:rsidP="008D601B">
      <w:pPr>
        <w:pStyle w:val="ListParagraph"/>
        <w:numPr>
          <w:ilvl w:val="0"/>
          <w:numId w:val="25"/>
        </w:numPr>
        <w:rPr>
          <w:rStyle w:val="oypena"/>
        </w:rPr>
      </w:pPr>
      <w:r w:rsidRPr="009A5554">
        <w:rPr>
          <w:rStyle w:val="oypena"/>
          <w:b/>
          <w:color w:val="000000"/>
        </w:rPr>
        <w:t>Online</w:t>
      </w:r>
      <w:r>
        <w:rPr>
          <w:rStyle w:val="oypena"/>
          <w:color w:val="000000"/>
        </w:rPr>
        <w:t xml:space="preserve">: </w:t>
      </w:r>
      <w:r w:rsidR="00D25AC3" w:rsidRPr="00D25AC3">
        <w:rPr>
          <w:rStyle w:val="oypena"/>
          <w:iCs/>
          <w:color w:val="000000"/>
        </w:rPr>
        <w:t>Use the online Tenant Form to send your complaint to us.</w:t>
      </w:r>
    </w:p>
    <w:p w14:paraId="23AD248D" w14:textId="52EE2021" w:rsidR="00DB4DE0" w:rsidRPr="009A5554" w:rsidRDefault="003A5BB8" w:rsidP="008D601B">
      <w:pPr>
        <w:pStyle w:val="ListParagraph"/>
        <w:numPr>
          <w:ilvl w:val="0"/>
          <w:numId w:val="25"/>
        </w:numPr>
        <w:rPr>
          <w:rStyle w:val="oypena"/>
        </w:rPr>
      </w:pPr>
      <w:r w:rsidRPr="009A5554">
        <w:rPr>
          <w:rStyle w:val="oypena"/>
          <w:b/>
          <w:color w:val="000000"/>
        </w:rPr>
        <w:t>Email</w:t>
      </w:r>
      <w:r>
        <w:rPr>
          <w:rStyle w:val="oypena"/>
          <w:color w:val="000000"/>
        </w:rPr>
        <w:t xml:space="preserve">: </w:t>
      </w:r>
      <w:r w:rsidR="00D25AC3" w:rsidRPr="00D25AC3">
        <w:rPr>
          <w:rStyle w:val="oypena"/>
          <w:color w:val="000000"/>
        </w:rPr>
        <w:t xml:space="preserve">You can send an email to </w:t>
      </w:r>
      <w:hyperlink r:id="rId11" w:history="1">
        <w:r w:rsidR="00071B9B" w:rsidRPr="00781406">
          <w:rPr>
            <w:rStyle w:val="Hyperlink"/>
          </w:rPr>
          <w:t>admin@cgq.org.au</w:t>
        </w:r>
      </w:hyperlink>
      <w:r w:rsidR="00D25AC3" w:rsidRPr="00D25AC3">
        <w:rPr>
          <w:rStyle w:val="oypena"/>
          <w:color w:val="000000"/>
        </w:rPr>
        <w:t xml:space="preserve"> making sure to include all relevant details, your full name and contact information.</w:t>
      </w:r>
    </w:p>
    <w:p w14:paraId="15FA35B5" w14:textId="77777777" w:rsidR="00D25AC3" w:rsidRPr="00D25AC3" w:rsidRDefault="00717969" w:rsidP="008D601B">
      <w:pPr>
        <w:pStyle w:val="ListParagraph"/>
        <w:numPr>
          <w:ilvl w:val="0"/>
          <w:numId w:val="25"/>
        </w:numPr>
        <w:rPr>
          <w:rStyle w:val="oypena"/>
        </w:rPr>
      </w:pPr>
      <w:r w:rsidRPr="00D25AC3">
        <w:rPr>
          <w:rStyle w:val="oypena"/>
          <w:b/>
          <w:color w:val="000000"/>
        </w:rPr>
        <w:t>Phone</w:t>
      </w:r>
      <w:r w:rsidRPr="00D25AC3">
        <w:rPr>
          <w:rStyle w:val="oypena"/>
          <w:color w:val="000000"/>
        </w:rPr>
        <w:t xml:space="preserve">: </w:t>
      </w:r>
      <w:r w:rsidR="00D25AC3" w:rsidRPr="00D25AC3">
        <w:rPr>
          <w:rStyle w:val="oypena"/>
          <w:color w:val="000000"/>
        </w:rPr>
        <w:t>If you are more comfortable speaking to us directly, you can do that too by calling the office on (07) 3370 8320.</w:t>
      </w:r>
    </w:p>
    <w:p w14:paraId="2637B079" w14:textId="77777777" w:rsidR="008D601B" w:rsidRDefault="008D601B" w:rsidP="008D601B">
      <w:pPr>
        <w:rPr>
          <w:rStyle w:val="oypena"/>
          <w:color w:val="000000"/>
        </w:rPr>
      </w:pPr>
      <w:r w:rsidRPr="008D601B">
        <w:rPr>
          <w:rStyle w:val="oypena"/>
          <w:color w:val="000000"/>
        </w:rPr>
        <w:t>If you have difficulties with any of the above methods, you can always ask the support provider to assist you.</w:t>
      </w:r>
    </w:p>
    <w:p w14:paraId="2A3F3DF1" w14:textId="77777777" w:rsidR="008D601B" w:rsidRDefault="008D601B" w:rsidP="008D601B">
      <w:pPr>
        <w:rPr>
          <w:lang w:eastAsia="en-AU"/>
        </w:rPr>
      </w:pPr>
      <w:r w:rsidRPr="008D601B">
        <w:rPr>
          <w:lang w:eastAsia="en-AU"/>
        </w:rPr>
        <w:t xml:space="preserve">When you send us a complaint, we ask for your name, address, phone number and email. We will only use this information to help us assess or respond to your complaint. Should the complaint escalate to legal proceedings, (for example, at the Queensland Civil and Administrative Tribunal, or QCAT) any personal details will be redacted. </w:t>
      </w:r>
    </w:p>
    <w:p w14:paraId="22A51066" w14:textId="45ECC8A5" w:rsidR="00EF188F" w:rsidRPr="009A5554" w:rsidRDefault="00EF188F" w:rsidP="008D601B">
      <w:pPr>
        <w:pStyle w:val="CGQH2"/>
      </w:pPr>
      <w:r w:rsidRPr="009A5554">
        <w:t>Anonymous Complaints</w:t>
      </w:r>
    </w:p>
    <w:p w14:paraId="21325D55" w14:textId="36DFC7E5" w:rsidR="00DB4DE0" w:rsidRDefault="00DB4DE0" w:rsidP="00DB4DE0">
      <w:pPr>
        <w:rPr>
          <w:lang w:eastAsia="en-AU"/>
        </w:rPr>
      </w:pPr>
      <w:r>
        <w:rPr>
          <w:lang w:eastAsia="en-AU"/>
        </w:rPr>
        <w:t xml:space="preserve">CGQ will accept anonymous complaints however it may be difficult for us to assess or respond to them if there is not enough detail. We </w:t>
      </w:r>
      <w:r w:rsidR="000443E9">
        <w:rPr>
          <w:lang w:eastAsia="en-AU"/>
        </w:rPr>
        <w:t>will also be</w:t>
      </w:r>
      <w:r>
        <w:rPr>
          <w:lang w:eastAsia="en-AU"/>
        </w:rPr>
        <w:t xml:space="preserve"> unable to advise complainants about the outcome of any actions if no contact details have been provided.</w:t>
      </w:r>
    </w:p>
    <w:p w14:paraId="150FE8FB" w14:textId="77777777" w:rsidR="0030676D" w:rsidRDefault="0030676D" w:rsidP="008D601B">
      <w:pPr>
        <w:pStyle w:val="CGQH2"/>
      </w:pPr>
    </w:p>
    <w:p w14:paraId="4B8484BE" w14:textId="0F4CEC3F" w:rsidR="00DB4DE0" w:rsidRPr="009A5554" w:rsidRDefault="000443E9" w:rsidP="008D601B">
      <w:pPr>
        <w:pStyle w:val="CGQH2"/>
      </w:pPr>
      <w:r>
        <w:lastRenderedPageBreak/>
        <w:t>Timeframes</w:t>
      </w:r>
    </w:p>
    <w:p w14:paraId="0062A559" w14:textId="4EF877C4" w:rsidR="0080615C" w:rsidRDefault="0080615C" w:rsidP="0080615C">
      <w:pPr>
        <w:rPr>
          <w:lang w:eastAsia="en-AU"/>
        </w:rPr>
      </w:pPr>
      <w:r>
        <w:rPr>
          <w:lang w:eastAsia="en-AU"/>
        </w:rPr>
        <w:t xml:space="preserve">After you submit a complaint, CGQ will let you know that we have received your complaint through a </w:t>
      </w:r>
      <w:r w:rsidRPr="004519E7">
        <w:rPr>
          <w:b/>
          <w:bCs/>
          <w:i/>
          <w:iCs/>
          <w:lang w:eastAsia="en-AU"/>
        </w:rPr>
        <w:t>Letter of Acknowledgement.</w:t>
      </w:r>
    </w:p>
    <w:p w14:paraId="75EB9143" w14:textId="77777777" w:rsidR="0080615C" w:rsidRDefault="0080615C" w:rsidP="0080615C">
      <w:pPr>
        <w:rPr>
          <w:lang w:eastAsia="en-AU"/>
        </w:rPr>
      </w:pPr>
      <w:r>
        <w:rPr>
          <w:lang w:eastAsia="en-AU"/>
        </w:rPr>
        <w:t xml:space="preserve">You’ll receive this letter within </w:t>
      </w:r>
      <w:r w:rsidRPr="004519E7">
        <w:rPr>
          <w:b/>
          <w:bCs/>
          <w:lang w:eastAsia="en-AU"/>
        </w:rPr>
        <w:t>two business days</w:t>
      </w:r>
      <w:r>
        <w:rPr>
          <w:lang w:eastAsia="en-AU"/>
        </w:rPr>
        <w:t xml:space="preserve"> of submitting your complaint.</w:t>
      </w:r>
    </w:p>
    <w:p w14:paraId="300B77A4" w14:textId="7D14E710" w:rsidR="00DB4DE0" w:rsidRDefault="000443E9" w:rsidP="0080615C">
      <w:pPr>
        <w:rPr>
          <w:b/>
          <w:lang w:eastAsia="en-AU"/>
        </w:rPr>
      </w:pPr>
      <w:r>
        <w:rPr>
          <w:lang w:eastAsia="en-AU"/>
        </w:rPr>
        <w:t xml:space="preserve">We will </w:t>
      </w:r>
      <w:r w:rsidR="00DB4DE0">
        <w:rPr>
          <w:lang w:eastAsia="en-AU"/>
        </w:rPr>
        <w:t xml:space="preserve">allocate your complaint to the appropriate team member who will assess and respond to your complaint with the </w:t>
      </w:r>
      <w:r w:rsidR="00F67E37">
        <w:rPr>
          <w:lang w:eastAsia="en-AU"/>
        </w:rPr>
        <w:t xml:space="preserve">proposed </w:t>
      </w:r>
      <w:r w:rsidR="00DB4DE0">
        <w:rPr>
          <w:lang w:eastAsia="en-AU"/>
        </w:rPr>
        <w:t>resolution.</w:t>
      </w:r>
      <w:r w:rsidRPr="000443E9">
        <w:rPr>
          <w:lang w:eastAsia="en-AU"/>
        </w:rPr>
        <w:t xml:space="preserve"> </w:t>
      </w:r>
      <w:r>
        <w:rPr>
          <w:lang w:eastAsia="en-AU"/>
        </w:rPr>
        <w:t xml:space="preserve">In most cases, we will get back to you </w:t>
      </w:r>
      <w:r w:rsidRPr="009A5554">
        <w:rPr>
          <w:b/>
          <w:lang w:eastAsia="en-AU"/>
        </w:rPr>
        <w:t>within 14 days</w:t>
      </w:r>
      <w:r>
        <w:rPr>
          <w:lang w:eastAsia="en-AU"/>
        </w:rPr>
        <w:t xml:space="preserve"> of you submitting your complaint with a </w:t>
      </w:r>
      <w:r w:rsidRPr="004519E7">
        <w:rPr>
          <w:b/>
          <w:i/>
          <w:iCs/>
          <w:lang w:eastAsia="en-AU"/>
        </w:rPr>
        <w:t>Letter of Resolution</w:t>
      </w:r>
      <w:r w:rsidR="001B6295" w:rsidRPr="004519E7">
        <w:rPr>
          <w:b/>
          <w:i/>
          <w:iCs/>
          <w:lang w:eastAsia="en-AU"/>
        </w:rPr>
        <w:t>.</w:t>
      </w:r>
    </w:p>
    <w:p w14:paraId="61906F91" w14:textId="7546DF39" w:rsidR="001B6295" w:rsidRDefault="00B90EFC" w:rsidP="00DB4DE0">
      <w:pPr>
        <w:rPr>
          <w:lang w:eastAsia="en-AU"/>
        </w:rPr>
      </w:pPr>
      <w:r w:rsidRPr="00B90EFC">
        <w:rPr>
          <w:lang w:eastAsia="en-AU"/>
        </w:rPr>
        <w:t>If your complaint involves other parties, details regarding other parties will not be disclosed in the resolution. This is done to protect everyone’s privacy.</w:t>
      </w:r>
      <w:r w:rsidR="004519E7">
        <w:rPr>
          <w:lang w:eastAsia="en-AU"/>
        </w:rPr>
        <w:t xml:space="preserve"> </w:t>
      </w:r>
      <w:r w:rsidR="001B6295" w:rsidRPr="001B6295">
        <w:rPr>
          <w:lang w:eastAsia="en-AU"/>
        </w:rPr>
        <w:t>If your complaint requires more time to assess, we will let you know and provide you with an updated timeframe.</w:t>
      </w:r>
    </w:p>
    <w:p w14:paraId="112080F1" w14:textId="3AEE7363" w:rsidR="00B90EFC" w:rsidRDefault="00B90EFC" w:rsidP="00B90EFC">
      <w:pPr>
        <w:rPr>
          <w:lang w:eastAsia="en-AU"/>
        </w:rPr>
      </w:pPr>
      <w:r>
        <w:rPr>
          <w:lang w:eastAsia="en-AU"/>
        </w:rPr>
        <w:t xml:space="preserve">Complaints remain open for 21 days after you have been sent a </w:t>
      </w:r>
      <w:r w:rsidRPr="004519E7">
        <w:rPr>
          <w:b/>
          <w:bCs/>
          <w:i/>
          <w:iCs/>
          <w:lang w:eastAsia="en-AU"/>
        </w:rPr>
        <w:t>Letter of Resolution</w:t>
      </w:r>
      <w:r>
        <w:rPr>
          <w:lang w:eastAsia="en-AU"/>
        </w:rPr>
        <w:t>. During this time, you have the option to appeal the outcome. If we do not receive an appeal during this time, the matter will be closed.</w:t>
      </w:r>
    </w:p>
    <w:p w14:paraId="15A1CD7D" w14:textId="631AAB0A" w:rsidR="00E46367" w:rsidRPr="009A5554" w:rsidRDefault="00E46367" w:rsidP="00252CBE">
      <w:pPr>
        <w:pStyle w:val="CGQH2"/>
      </w:pPr>
      <w:r w:rsidRPr="00F67E37">
        <w:t xml:space="preserve">Appealing a </w:t>
      </w:r>
      <w:r>
        <w:t>D</w:t>
      </w:r>
      <w:r w:rsidRPr="009A5554">
        <w:t>ecision</w:t>
      </w:r>
    </w:p>
    <w:p w14:paraId="43641F99" w14:textId="77777777" w:rsidR="00252CBE" w:rsidRDefault="00252CBE" w:rsidP="0004612C">
      <w:pPr>
        <w:rPr>
          <w:lang w:eastAsia="en-AU"/>
        </w:rPr>
      </w:pPr>
      <w:r w:rsidRPr="00252CBE">
        <w:rPr>
          <w:lang w:eastAsia="en-AU"/>
        </w:rPr>
        <w:t xml:space="preserve">If you’re not happy with the outcome of a complaint, or a decision made by CGQ in relation to your tenancy (for example receiving a breach or notice to leave) you can submit an appeal. Appeals can be submitted through a hard copy letter, the online </w:t>
      </w:r>
      <w:r w:rsidRPr="00252CBE">
        <w:rPr>
          <w:b/>
          <w:bCs/>
          <w:i/>
          <w:iCs/>
          <w:lang w:eastAsia="en-AU"/>
        </w:rPr>
        <w:t>Tenant Form</w:t>
      </w:r>
      <w:r w:rsidRPr="00252CBE">
        <w:rPr>
          <w:lang w:eastAsia="en-AU"/>
        </w:rPr>
        <w:t>, over the phone or email.</w:t>
      </w:r>
    </w:p>
    <w:p w14:paraId="0847BB54" w14:textId="422ACA35" w:rsidR="00DB4DE0" w:rsidRDefault="00DB4DE0" w:rsidP="0004612C">
      <w:pPr>
        <w:rPr>
          <w:lang w:eastAsia="en-AU"/>
        </w:rPr>
      </w:pPr>
      <w:r w:rsidRPr="00DB4DE0">
        <w:rPr>
          <w:lang w:eastAsia="en-AU"/>
        </w:rPr>
        <w:t xml:space="preserve">All appeals are reviewed by our Chief Executive Officer. You will receive a response from the Chief Executive Officer within </w:t>
      </w:r>
      <w:r w:rsidRPr="009A5554">
        <w:rPr>
          <w:b/>
          <w:lang w:eastAsia="en-AU"/>
        </w:rPr>
        <w:t>14 days</w:t>
      </w:r>
      <w:r>
        <w:rPr>
          <w:lang w:eastAsia="en-AU"/>
        </w:rPr>
        <w:t>.</w:t>
      </w:r>
    </w:p>
    <w:p w14:paraId="524C6383" w14:textId="45EB1673" w:rsidR="00E46367" w:rsidRPr="009A5554" w:rsidRDefault="00E46367" w:rsidP="00252CBE">
      <w:pPr>
        <w:pStyle w:val="CGQH2"/>
      </w:pPr>
      <w:r w:rsidRPr="009A5554">
        <w:t>External appeals</w:t>
      </w:r>
    </w:p>
    <w:p w14:paraId="52D15CE9" w14:textId="4E0FCD81" w:rsidR="00A152D9" w:rsidRDefault="00A152D9" w:rsidP="00A152D9">
      <w:pPr>
        <w:rPr>
          <w:lang w:eastAsia="en-AU"/>
        </w:rPr>
      </w:pPr>
      <w:r>
        <w:rPr>
          <w:lang w:eastAsia="en-AU"/>
        </w:rPr>
        <w:t xml:space="preserve">If you are not satisfied with the Chief Executive Officer’s review, you can contact the </w:t>
      </w:r>
      <w:r w:rsidRPr="00A152D9">
        <w:rPr>
          <w:b/>
          <w:bCs/>
          <w:lang w:eastAsia="en-AU"/>
        </w:rPr>
        <w:t>Residential Tenancies Authority’s (RTA)</w:t>
      </w:r>
      <w:r>
        <w:rPr>
          <w:lang w:eastAsia="en-AU"/>
        </w:rPr>
        <w:t xml:space="preserve"> free and impartial dispute resolution service to try to reach a mutually agreed outcome. In some limited circumstances the RTA dispute resolution service can also assist with general neighbourhood disputes that are outside of CGQ’s property and tenancy management responsibility.</w:t>
      </w:r>
    </w:p>
    <w:p w14:paraId="0731B225" w14:textId="77777777" w:rsidR="00A152D9" w:rsidRDefault="00A152D9" w:rsidP="00A152D9">
      <w:pPr>
        <w:rPr>
          <w:lang w:eastAsia="en-AU"/>
        </w:rPr>
      </w:pPr>
      <w:r>
        <w:rPr>
          <w:lang w:eastAsia="en-AU"/>
        </w:rPr>
        <w:t xml:space="preserve">You can make a formal complaint to the </w:t>
      </w:r>
      <w:r w:rsidRPr="00A152D9">
        <w:rPr>
          <w:b/>
          <w:bCs/>
          <w:lang w:eastAsia="en-AU"/>
        </w:rPr>
        <w:t>Queensland Registrar of Housing</w:t>
      </w:r>
      <w:r>
        <w:rPr>
          <w:lang w:eastAsia="en-AU"/>
        </w:rPr>
        <w:t xml:space="preserve"> who is responsible for administering the </w:t>
      </w:r>
      <w:r w:rsidRPr="00A152D9">
        <w:rPr>
          <w:b/>
          <w:bCs/>
          <w:lang w:eastAsia="en-AU"/>
        </w:rPr>
        <w:t>National Regulatory System for Community Housing (NRSCH)</w:t>
      </w:r>
      <w:r>
        <w:rPr>
          <w:lang w:eastAsia="en-AU"/>
        </w:rPr>
        <w:t xml:space="preserve">. The Registrar regulates community housing to ensure providers are fulfilling their legal obligations under The Housing Act (2003) and tracks the number and nature of complaints against individual providers. The Registrar doesn’t deal with </w:t>
      </w:r>
      <w:proofErr w:type="gramStart"/>
      <w:r>
        <w:rPr>
          <w:lang w:eastAsia="en-AU"/>
        </w:rPr>
        <w:t>tenant to tenant</w:t>
      </w:r>
      <w:proofErr w:type="gramEnd"/>
      <w:r>
        <w:rPr>
          <w:lang w:eastAsia="en-AU"/>
        </w:rPr>
        <w:t xml:space="preserve"> disputes. Nor do they act on individual cases unless there is adequate evidence of systemic failure. Nevertheless, if you have serious complaints about the way we have dealt with a particular matter, we strongly urge you to inform the Registrar of your </w:t>
      </w:r>
      <w:r>
        <w:rPr>
          <w:lang w:eastAsia="en-AU"/>
        </w:rPr>
        <w:lastRenderedPageBreak/>
        <w:t xml:space="preserve">displeasure and why you are unhappy. This will not only be good for us, </w:t>
      </w:r>
      <w:proofErr w:type="gramStart"/>
      <w:r>
        <w:rPr>
          <w:lang w:eastAsia="en-AU"/>
        </w:rPr>
        <w:t>it will</w:t>
      </w:r>
      <w:proofErr w:type="gramEnd"/>
      <w:r>
        <w:rPr>
          <w:lang w:eastAsia="en-AU"/>
        </w:rPr>
        <w:t xml:space="preserve"> be good for the entire sector.</w:t>
      </w:r>
    </w:p>
    <w:p w14:paraId="2D08D616" w14:textId="77777777" w:rsidR="00A152D9" w:rsidRDefault="00A152D9" w:rsidP="00A152D9">
      <w:pPr>
        <w:rPr>
          <w:lang w:eastAsia="en-AU"/>
        </w:rPr>
      </w:pPr>
      <w:r>
        <w:rPr>
          <w:lang w:eastAsia="en-AU"/>
        </w:rPr>
        <w:t xml:space="preserve">CGQ has been contracted by the Queensland Government’s </w:t>
      </w:r>
      <w:r w:rsidRPr="00A152D9">
        <w:rPr>
          <w:b/>
          <w:bCs/>
          <w:lang w:eastAsia="en-AU"/>
        </w:rPr>
        <w:t>Department of Housing, Local Government, Planning and Public Works</w:t>
      </w:r>
      <w:r>
        <w:rPr>
          <w:lang w:eastAsia="en-AU"/>
        </w:rPr>
        <w:t xml:space="preserve"> to provide community housing on its behalf. They don’t have any direct involvement in disputes or appeals and in normal circumstances will seek answers to </w:t>
      </w:r>
      <w:proofErr w:type="gramStart"/>
      <w:r>
        <w:rPr>
          <w:lang w:eastAsia="en-AU"/>
        </w:rPr>
        <w:t>your</w:t>
      </w:r>
      <w:proofErr w:type="gramEnd"/>
      <w:r>
        <w:rPr>
          <w:lang w:eastAsia="en-AU"/>
        </w:rPr>
        <w:t xml:space="preserve"> enquires by contacting the provider or referring you to the Registrar of Housing or RTA.</w:t>
      </w:r>
    </w:p>
    <w:p w14:paraId="349C88C9" w14:textId="4709E64E" w:rsidR="002A6CD5" w:rsidRDefault="00A152D9" w:rsidP="00A152D9">
      <w:pPr>
        <w:rPr>
          <w:lang w:eastAsia="en-AU"/>
        </w:rPr>
      </w:pPr>
      <w:r w:rsidRPr="00A152D9">
        <w:rPr>
          <w:b/>
          <w:bCs/>
          <w:lang w:eastAsia="en-AU"/>
        </w:rPr>
        <w:t>Queensland Statewide Tenant Advice and Referral Service (QSTARS)</w:t>
      </w:r>
      <w:r>
        <w:rPr>
          <w:lang w:eastAsia="en-AU"/>
        </w:rPr>
        <w:t xml:space="preserve"> is strictly a general advice and referral service for all renters in Queensland. They will not provide any advice if it involves another tenant, even if the complaint is about how an organisation has behaved in dealing with your dispute. </w:t>
      </w:r>
    </w:p>
    <w:p w14:paraId="4B308FFC" w14:textId="38644261" w:rsidR="00DB4DE0" w:rsidRPr="009A5554" w:rsidRDefault="00DB4DE0" w:rsidP="00A152D9">
      <w:pPr>
        <w:pStyle w:val="CGQH2"/>
      </w:pPr>
      <w:r w:rsidRPr="009A5554">
        <w:t>Contacts and Links</w:t>
      </w:r>
      <w:r w:rsidR="001F1262">
        <w:t xml:space="preserve"> to External Services</w:t>
      </w:r>
    </w:p>
    <w:p w14:paraId="5745F27F" w14:textId="47C0684D" w:rsidR="003F2391" w:rsidRPr="00DB4DE0" w:rsidRDefault="00DB4DE0" w:rsidP="003F2391">
      <w:pPr>
        <w:pStyle w:val="ListParagraph"/>
        <w:numPr>
          <w:ilvl w:val="0"/>
          <w:numId w:val="26"/>
        </w:numPr>
      </w:pPr>
      <w:r w:rsidRPr="00DB4DE0">
        <w:rPr>
          <w:rStyle w:val="oypena"/>
        </w:rPr>
        <w:t>Residential Tenancies Authority (RTA)</w:t>
      </w:r>
      <w:r>
        <w:rPr>
          <w:rStyle w:val="oypena"/>
        </w:rPr>
        <w:br/>
      </w:r>
      <w:r w:rsidRPr="00A152D9">
        <w:rPr>
          <w:rStyle w:val="oypena"/>
          <w:color w:val="000000"/>
        </w:rPr>
        <w:t>Phone: 1300 366 311</w:t>
      </w:r>
      <w:r w:rsidRPr="00A152D9">
        <w:rPr>
          <w:rStyle w:val="oypena"/>
          <w:color w:val="000000"/>
        </w:rPr>
        <w:br/>
        <w:t xml:space="preserve">Website: </w:t>
      </w:r>
      <w:hyperlink r:id="rId12" w:tgtFrame="_blank" w:history="1">
        <w:r w:rsidRPr="003F2391">
          <w:rPr>
            <w:rStyle w:val="Hyperlink"/>
          </w:rPr>
          <w:t>www.rta.qld.gov.au/contact</w:t>
        </w:r>
      </w:hyperlink>
    </w:p>
    <w:p w14:paraId="7C6352FD" w14:textId="26C7ED6E" w:rsidR="00DB4DE0" w:rsidRPr="00A152D9" w:rsidRDefault="00DB4DE0" w:rsidP="00A152D9">
      <w:pPr>
        <w:pStyle w:val="ListParagraph"/>
        <w:numPr>
          <w:ilvl w:val="0"/>
          <w:numId w:val="26"/>
        </w:numPr>
        <w:rPr>
          <w:rStyle w:val="Hyperlink"/>
          <w:b/>
          <w:bCs/>
        </w:rPr>
      </w:pPr>
      <w:r w:rsidRPr="00DB4DE0">
        <w:t>National Regulatory System for Community Housing (NRSCH)</w:t>
      </w:r>
      <w:r>
        <w:br/>
      </w:r>
      <w:r w:rsidRPr="003361E9">
        <w:t xml:space="preserve">Online Form: </w:t>
      </w:r>
      <w:hyperlink r:id="rId13" w:history="1">
        <w:r w:rsidR="003361E9" w:rsidRPr="003361E9">
          <w:rPr>
            <w:rStyle w:val="Hyperlink"/>
          </w:rPr>
          <w:t>http://www.form.nrsch.gov.au/</w:t>
        </w:r>
      </w:hyperlink>
    </w:p>
    <w:p w14:paraId="5C713738" w14:textId="77777777" w:rsidR="001F1262" w:rsidRDefault="001F1262" w:rsidP="00A152D9">
      <w:pPr>
        <w:pStyle w:val="ListParagraph"/>
        <w:numPr>
          <w:ilvl w:val="0"/>
          <w:numId w:val="26"/>
        </w:numPr>
      </w:pPr>
      <w:r w:rsidRPr="00DB4DE0">
        <w:rPr>
          <w:rStyle w:val="oypena"/>
        </w:rPr>
        <w:t xml:space="preserve">Queensland Statewide Tenant Advice and Referral Service (QSTARS) </w:t>
      </w:r>
      <w:r>
        <w:rPr>
          <w:rStyle w:val="oypena"/>
        </w:rPr>
        <w:br/>
      </w:r>
      <w:r w:rsidRPr="00A152D9">
        <w:rPr>
          <w:rStyle w:val="oypena"/>
          <w:color w:val="000000"/>
        </w:rPr>
        <w:t>Statewide Advice Number: 1300 744 263</w:t>
      </w:r>
      <w:r w:rsidRPr="003361E9">
        <w:br/>
      </w:r>
      <w:r w:rsidRPr="00A152D9">
        <w:rPr>
          <w:rStyle w:val="oypena"/>
          <w:color w:val="000000"/>
        </w:rPr>
        <w:t xml:space="preserve">Website: </w:t>
      </w:r>
      <w:hyperlink r:id="rId14" w:tgtFrame="_blank" w:history="1">
        <w:r w:rsidRPr="003361E9">
          <w:rPr>
            <w:rStyle w:val="Hyperlink"/>
          </w:rPr>
          <w:t>www.qstars.org.au</w:t>
        </w:r>
      </w:hyperlink>
    </w:p>
    <w:p w14:paraId="04654739" w14:textId="55BABBE2" w:rsidR="003361E9" w:rsidRPr="00A152D9" w:rsidRDefault="00DB4DE0" w:rsidP="00A152D9">
      <w:pPr>
        <w:pStyle w:val="ListParagraph"/>
        <w:numPr>
          <w:ilvl w:val="0"/>
          <w:numId w:val="26"/>
        </w:numPr>
        <w:rPr>
          <w:rStyle w:val="Hyperlink"/>
          <w:b/>
          <w:bCs/>
        </w:rPr>
      </w:pPr>
      <w:r w:rsidRPr="00DB4DE0">
        <w:t xml:space="preserve">Queensland Department of Housing, Local Government, </w:t>
      </w:r>
      <w:r w:rsidR="00AE1B6F">
        <w:t xml:space="preserve">Planning and </w:t>
      </w:r>
      <w:r w:rsidRPr="00DB4DE0">
        <w:t>Public Works</w:t>
      </w:r>
      <w:r>
        <w:br/>
      </w:r>
      <w:r w:rsidRPr="003361E9">
        <w:t>Phone: 13 QGOV (13 74 68)</w:t>
      </w:r>
      <w:r w:rsidRPr="003361E9">
        <w:br/>
        <w:t xml:space="preserve">Online Form: </w:t>
      </w:r>
      <w:hyperlink r:id="rId15" w:history="1">
        <w:r w:rsidR="003361E9" w:rsidRPr="003361E9">
          <w:rPr>
            <w:rStyle w:val="Hyperlink"/>
          </w:rPr>
          <w:t>http://www.qld.gov.au/contact-us</w:t>
        </w:r>
      </w:hyperlink>
    </w:p>
    <w:p w14:paraId="63AC63D0" w14:textId="4A8B9D69" w:rsidR="00F322C0" w:rsidRPr="00A152D9" w:rsidRDefault="00F322C0" w:rsidP="00A152D9">
      <w:pPr>
        <w:pStyle w:val="ListParagraph"/>
        <w:numPr>
          <w:ilvl w:val="0"/>
          <w:numId w:val="26"/>
        </w:numPr>
        <w:rPr>
          <w:b/>
          <w:bCs/>
        </w:rPr>
      </w:pPr>
      <w:r>
        <w:t>Queensland Human Rights Commission</w:t>
      </w:r>
      <w:r>
        <w:br/>
        <w:t xml:space="preserve">Phone: </w:t>
      </w:r>
      <w:r w:rsidR="004C79E6">
        <w:t>1300 130 670</w:t>
      </w:r>
      <w:r w:rsidR="004C79E6">
        <w:br/>
        <w:t xml:space="preserve">Online: </w:t>
      </w:r>
      <w:hyperlink r:id="rId16" w:history="1">
        <w:r w:rsidR="004C79E6" w:rsidRPr="00441B0E">
          <w:rPr>
            <w:rStyle w:val="Hyperlink"/>
          </w:rPr>
          <w:t>https://www.qhrc.qld.gov.au/complaints/making-a-complaint</w:t>
        </w:r>
      </w:hyperlink>
    </w:p>
    <w:p w14:paraId="6A7915FE" w14:textId="77777777" w:rsidR="003F7342" w:rsidRPr="009A5554" w:rsidRDefault="003F7342" w:rsidP="00A152D9">
      <w:pPr>
        <w:pStyle w:val="CGQH2"/>
      </w:pPr>
      <w:r w:rsidRPr="009A5554">
        <w:t>Other Information</w:t>
      </w:r>
    </w:p>
    <w:p w14:paraId="6AC43389" w14:textId="4A3BCEAD" w:rsidR="00FB2700" w:rsidRDefault="00FB2700" w:rsidP="00FB2700">
      <w:pPr>
        <w:rPr>
          <w:lang w:eastAsia="en-AU"/>
        </w:rPr>
      </w:pPr>
      <w:r>
        <w:rPr>
          <w:lang w:eastAsia="en-AU"/>
        </w:rPr>
        <w:t>This fact sheet is based on information provided in our Tenant Compliments, Complaints, Appeals and Feedback Policy and Procedure. If you have privacy issues, please have a look at our Privacy and Confidentiality Policy. You can also ask for copies of these documents at any time.</w:t>
      </w:r>
    </w:p>
    <w:p w14:paraId="335B5366" w14:textId="0F8CA2A0" w:rsidR="00A9057F" w:rsidRDefault="00FB2700" w:rsidP="00FB2700">
      <w:pPr>
        <w:rPr>
          <w:lang w:eastAsia="en-AU"/>
        </w:rPr>
      </w:pPr>
      <w:r>
        <w:rPr>
          <w:lang w:eastAsia="en-AU"/>
        </w:rPr>
        <w:t xml:space="preserve">If you would like to ask us anything about the information on this fact sheet, please don’t hesitate to email us at </w:t>
      </w:r>
      <w:hyperlink r:id="rId17" w:history="1">
        <w:r w:rsidR="00071B9B" w:rsidRPr="00071B9B">
          <w:rPr>
            <w:rStyle w:val="Hyperlink"/>
            <w:lang w:eastAsia="en-AU"/>
          </w:rPr>
          <w:t>admin@cgq.org.au</w:t>
        </w:r>
      </w:hyperlink>
      <w:r w:rsidR="00071B9B">
        <w:rPr>
          <w:lang w:eastAsia="en-AU"/>
        </w:rPr>
        <w:t xml:space="preserve"> </w:t>
      </w:r>
      <w:r>
        <w:rPr>
          <w:lang w:eastAsia="en-AU"/>
        </w:rPr>
        <w:t>with your questions.</w:t>
      </w:r>
    </w:p>
    <w:sectPr w:rsidR="00A9057F">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168F8" w14:textId="77777777" w:rsidR="0089761F" w:rsidRDefault="0089761F" w:rsidP="00501527">
      <w:pPr>
        <w:spacing w:after="0" w:line="240" w:lineRule="auto"/>
      </w:pPr>
      <w:r>
        <w:separator/>
      </w:r>
    </w:p>
  </w:endnote>
  <w:endnote w:type="continuationSeparator" w:id="0">
    <w:p w14:paraId="58B553FD" w14:textId="77777777" w:rsidR="0089761F" w:rsidRDefault="0089761F" w:rsidP="00501527">
      <w:pPr>
        <w:spacing w:after="0" w:line="240" w:lineRule="auto"/>
      </w:pPr>
      <w:r>
        <w:continuationSeparator/>
      </w:r>
    </w:p>
  </w:endnote>
  <w:endnote w:type="continuationNotice" w:id="1">
    <w:p w14:paraId="79342245" w14:textId="77777777" w:rsidR="0089761F" w:rsidRDefault="008976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648889"/>
      <w:docPartObj>
        <w:docPartGallery w:val="Page Numbers (Bottom of Page)"/>
        <w:docPartUnique/>
      </w:docPartObj>
    </w:sdtPr>
    <w:sdtEndPr/>
    <w:sdtContent>
      <w:sdt>
        <w:sdtPr>
          <w:id w:val="-1769616900"/>
          <w:docPartObj>
            <w:docPartGallery w:val="Page Numbers (Top of Page)"/>
            <w:docPartUnique/>
          </w:docPartObj>
        </w:sdtPr>
        <w:sdtEndPr/>
        <w:sdtContent>
          <w:p w14:paraId="4B38204F" w14:textId="3A1B4EB6" w:rsidR="000929A3" w:rsidRDefault="000929A3" w:rsidP="000929A3">
            <w:pPr>
              <w:pStyle w:val="Footer"/>
            </w:pPr>
            <w:r w:rsidRPr="000929A3">
              <w:rPr>
                <w:sz w:val="18"/>
                <w:szCs w:val="18"/>
              </w:rPr>
              <w:t>Tenant Compliments, Complaints Appeals and Feedback Fact sheet</w:t>
            </w:r>
            <w:r w:rsidR="00457752">
              <w:rPr>
                <w:sz w:val="18"/>
                <w:szCs w:val="18"/>
              </w:rPr>
              <w:t xml:space="preserve"> - Accessible</w:t>
            </w:r>
            <w:r w:rsidRPr="000929A3">
              <w:rPr>
                <w:sz w:val="18"/>
                <w:szCs w:val="18"/>
              </w:rPr>
              <w:t xml:space="preserve"> – </w:t>
            </w:r>
            <w:r w:rsidR="00457752">
              <w:rPr>
                <w:sz w:val="18"/>
                <w:szCs w:val="18"/>
              </w:rPr>
              <w:t>v</w:t>
            </w:r>
            <w:r w:rsidR="00464601">
              <w:rPr>
                <w:sz w:val="18"/>
                <w:szCs w:val="18"/>
              </w:rPr>
              <w:t>5</w:t>
            </w:r>
            <w:r w:rsidRPr="000929A3">
              <w:rPr>
                <w:sz w:val="18"/>
                <w:szCs w:val="18"/>
              </w:rPr>
              <w:tab/>
              <w:t xml:space="preserve">Page </w:t>
            </w:r>
            <w:r w:rsidRPr="000929A3">
              <w:rPr>
                <w:b/>
                <w:bCs/>
                <w:sz w:val="18"/>
                <w:szCs w:val="18"/>
              </w:rPr>
              <w:fldChar w:fldCharType="begin"/>
            </w:r>
            <w:r w:rsidRPr="000929A3">
              <w:rPr>
                <w:b/>
                <w:bCs/>
                <w:sz w:val="18"/>
                <w:szCs w:val="18"/>
              </w:rPr>
              <w:instrText xml:space="preserve"> PAGE </w:instrText>
            </w:r>
            <w:r w:rsidRPr="000929A3">
              <w:rPr>
                <w:b/>
                <w:bCs/>
                <w:sz w:val="18"/>
                <w:szCs w:val="18"/>
              </w:rPr>
              <w:fldChar w:fldCharType="separate"/>
            </w:r>
            <w:r w:rsidRPr="000929A3">
              <w:rPr>
                <w:b/>
                <w:bCs/>
                <w:noProof/>
                <w:sz w:val="18"/>
                <w:szCs w:val="18"/>
              </w:rPr>
              <w:t>2</w:t>
            </w:r>
            <w:r w:rsidRPr="000929A3">
              <w:rPr>
                <w:b/>
                <w:bCs/>
                <w:sz w:val="18"/>
                <w:szCs w:val="18"/>
              </w:rPr>
              <w:fldChar w:fldCharType="end"/>
            </w:r>
            <w:r w:rsidRPr="000929A3">
              <w:rPr>
                <w:sz w:val="18"/>
                <w:szCs w:val="18"/>
              </w:rPr>
              <w:t xml:space="preserve"> of </w:t>
            </w:r>
            <w:r w:rsidRPr="000929A3">
              <w:rPr>
                <w:b/>
                <w:bCs/>
                <w:sz w:val="18"/>
                <w:szCs w:val="18"/>
              </w:rPr>
              <w:fldChar w:fldCharType="begin"/>
            </w:r>
            <w:r w:rsidRPr="000929A3">
              <w:rPr>
                <w:b/>
                <w:bCs/>
                <w:sz w:val="18"/>
                <w:szCs w:val="18"/>
              </w:rPr>
              <w:instrText xml:space="preserve"> NUMPAGES  </w:instrText>
            </w:r>
            <w:r w:rsidRPr="000929A3">
              <w:rPr>
                <w:b/>
                <w:bCs/>
                <w:sz w:val="18"/>
                <w:szCs w:val="18"/>
              </w:rPr>
              <w:fldChar w:fldCharType="separate"/>
            </w:r>
            <w:r w:rsidRPr="000929A3">
              <w:rPr>
                <w:b/>
                <w:bCs/>
                <w:noProof/>
                <w:sz w:val="18"/>
                <w:szCs w:val="18"/>
              </w:rPr>
              <w:t>2</w:t>
            </w:r>
            <w:r w:rsidRPr="000929A3">
              <w:rPr>
                <w:b/>
                <w:bCs/>
                <w:sz w:val="18"/>
                <w:szCs w:val="18"/>
              </w:rPr>
              <w:fldChar w:fldCharType="end"/>
            </w:r>
          </w:p>
        </w:sdtContent>
      </w:sdt>
    </w:sdtContent>
  </w:sdt>
  <w:p w14:paraId="54858A00" w14:textId="1B7D7153" w:rsidR="003361E9" w:rsidRDefault="00336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25B6A" w14:textId="77777777" w:rsidR="0089761F" w:rsidRDefault="0089761F" w:rsidP="00501527">
      <w:pPr>
        <w:spacing w:after="0" w:line="240" w:lineRule="auto"/>
      </w:pPr>
      <w:r>
        <w:separator/>
      </w:r>
    </w:p>
  </w:footnote>
  <w:footnote w:type="continuationSeparator" w:id="0">
    <w:p w14:paraId="100800FC" w14:textId="77777777" w:rsidR="0089761F" w:rsidRDefault="0089761F" w:rsidP="00501527">
      <w:pPr>
        <w:spacing w:after="0" w:line="240" w:lineRule="auto"/>
      </w:pPr>
      <w:r>
        <w:continuationSeparator/>
      </w:r>
    </w:p>
  </w:footnote>
  <w:footnote w:type="continuationNotice" w:id="1">
    <w:p w14:paraId="7AAAD7F3" w14:textId="77777777" w:rsidR="0089761F" w:rsidRDefault="008976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9288" w:type="dxa"/>
      <w:tblLayout w:type="fixed"/>
      <w:tblLook w:val="01E0" w:firstRow="1" w:lastRow="1" w:firstColumn="1" w:lastColumn="1" w:noHBand="0" w:noVBand="0"/>
    </w:tblPr>
    <w:tblGrid>
      <w:gridCol w:w="7308"/>
      <w:gridCol w:w="1980"/>
    </w:tblGrid>
    <w:tr w:rsidR="00501527" w:rsidRPr="00864CBD" w14:paraId="0FC52ADE" w14:textId="77777777" w:rsidTr="00501527">
      <w:tc>
        <w:tcPr>
          <w:tcW w:w="7308" w:type="dxa"/>
        </w:tcPr>
        <w:p w14:paraId="2A46A31F" w14:textId="77777777" w:rsidR="00501527" w:rsidRPr="00463C6F" w:rsidRDefault="00501527" w:rsidP="00501527">
          <w:pPr>
            <w:pStyle w:val="Header"/>
            <w:rPr>
              <w:rFonts w:cs="Arial"/>
              <w:sz w:val="24"/>
            </w:rPr>
          </w:pPr>
        </w:p>
        <w:p w14:paraId="42ACD8B8" w14:textId="77777777" w:rsidR="00501527" w:rsidRDefault="00501527" w:rsidP="00501527">
          <w:pPr>
            <w:pStyle w:val="Header"/>
            <w:rPr>
              <w:rFonts w:cs="Arial"/>
              <w:sz w:val="24"/>
            </w:rPr>
          </w:pPr>
        </w:p>
        <w:p w14:paraId="7B03885B" w14:textId="16F0FCC1" w:rsidR="00501527" w:rsidRPr="001F2E50" w:rsidRDefault="00A03F0E" w:rsidP="00501527">
          <w:pPr>
            <w:pStyle w:val="Header"/>
            <w:rPr>
              <w:rFonts w:cs="Arial"/>
              <w:sz w:val="24"/>
            </w:rPr>
          </w:pPr>
          <w:r w:rsidRPr="00A03F0E">
            <w:rPr>
              <w:rFonts w:cs="Arial"/>
              <w:sz w:val="24"/>
            </w:rPr>
            <w:t>Tenant Compliments, Complaints</w:t>
          </w:r>
          <w:r w:rsidR="00DF4C1D">
            <w:rPr>
              <w:rFonts w:cs="Arial"/>
              <w:sz w:val="24"/>
            </w:rPr>
            <w:t xml:space="preserve">, Appeals and Feedback </w:t>
          </w:r>
          <w:r w:rsidRPr="00A03F0E">
            <w:rPr>
              <w:rFonts w:cs="Arial"/>
              <w:sz w:val="24"/>
            </w:rPr>
            <w:t>Fact</w:t>
          </w:r>
          <w:r w:rsidR="003361E9">
            <w:rPr>
              <w:rFonts w:cs="Arial"/>
              <w:sz w:val="24"/>
            </w:rPr>
            <w:t xml:space="preserve"> S</w:t>
          </w:r>
          <w:r w:rsidRPr="00A03F0E">
            <w:rPr>
              <w:rFonts w:cs="Arial"/>
              <w:sz w:val="24"/>
            </w:rPr>
            <w:t>heet</w:t>
          </w:r>
          <w:r w:rsidR="00B87A1E">
            <w:rPr>
              <w:rFonts w:cs="Arial"/>
              <w:sz w:val="24"/>
            </w:rPr>
            <w:t xml:space="preserve"> – Accessible</w:t>
          </w:r>
        </w:p>
      </w:tc>
      <w:tc>
        <w:tcPr>
          <w:tcW w:w="1980" w:type="dxa"/>
        </w:tcPr>
        <w:p w14:paraId="5193021E" w14:textId="77777777" w:rsidR="00501527" w:rsidRPr="00864CBD" w:rsidRDefault="00501527" w:rsidP="00501527">
          <w:pPr>
            <w:pStyle w:val="Header"/>
            <w:tabs>
              <w:tab w:val="right" w:pos="4991"/>
            </w:tabs>
            <w:rPr>
              <w:rFonts w:cs="Arial"/>
            </w:rPr>
          </w:pPr>
          <w:r>
            <w:rPr>
              <w:rFonts w:cs="Arial"/>
              <w:noProof/>
              <w:lang w:eastAsia="en-AU"/>
            </w:rPr>
            <w:drawing>
              <wp:inline distT="0" distB="0" distL="0" distR="0" wp14:anchorId="1A0A44B1" wp14:editId="0590D1BA">
                <wp:extent cx="1123950" cy="609600"/>
                <wp:effectExtent l="0" t="0" r="0" b="0"/>
                <wp:docPr id="9" name="Picture 9" descr="Common Ground Queens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ommon Ground Queenslan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609600"/>
                        </a:xfrm>
                        <a:prstGeom prst="rect">
                          <a:avLst/>
                        </a:prstGeom>
                        <a:noFill/>
                        <a:ln>
                          <a:noFill/>
                        </a:ln>
                      </pic:spPr>
                    </pic:pic>
                  </a:graphicData>
                </a:graphic>
              </wp:inline>
            </w:drawing>
          </w:r>
        </w:p>
      </w:tc>
    </w:tr>
  </w:tbl>
  <w:p w14:paraId="3E1FD75C" w14:textId="77777777" w:rsidR="00501527" w:rsidRDefault="00501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444"/>
    <w:multiLevelType w:val="hybridMultilevel"/>
    <w:tmpl w:val="F42E1F3C"/>
    <w:lvl w:ilvl="0" w:tplc="9DAE8C58">
      <w:start w:val="1"/>
      <w:numFmt w:val="upp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0333D2"/>
    <w:multiLevelType w:val="hybridMultilevel"/>
    <w:tmpl w:val="6A165A1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0471CA"/>
    <w:multiLevelType w:val="hybridMultilevel"/>
    <w:tmpl w:val="5A5E1C22"/>
    <w:lvl w:ilvl="0" w:tplc="0C090001">
      <w:start w:val="1"/>
      <w:numFmt w:val="bullet"/>
      <w:lvlText w:val=""/>
      <w:lvlJc w:val="left"/>
      <w:pPr>
        <w:ind w:left="-218" w:hanging="360"/>
      </w:pPr>
      <w:rPr>
        <w:rFonts w:ascii="Symbol" w:hAnsi="Symbol" w:hint="default"/>
      </w:rPr>
    </w:lvl>
    <w:lvl w:ilvl="1" w:tplc="0C090003" w:tentative="1">
      <w:start w:val="1"/>
      <w:numFmt w:val="bullet"/>
      <w:lvlText w:val="o"/>
      <w:lvlJc w:val="left"/>
      <w:pPr>
        <w:ind w:left="502" w:hanging="360"/>
      </w:pPr>
      <w:rPr>
        <w:rFonts w:ascii="Courier New" w:hAnsi="Courier New" w:cs="Courier New" w:hint="default"/>
      </w:rPr>
    </w:lvl>
    <w:lvl w:ilvl="2" w:tplc="0C090005" w:tentative="1">
      <w:start w:val="1"/>
      <w:numFmt w:val="bullet"/>
      <w:lvlText w:val=""/>
      <w:lvlJc w:val="left"/>
      <w:pPr>
        <w:ind w:left="1222" w:hanging="360"/>
      </w:pPr>
      <w:rPr>
        <w:rFonts w:ascii="Wingdings" w:hAnsi="Wingdings" w:hint="default"/>
      </w:rPr>
    </w:lvl>
    <w:lvl w:ilvl="3" w:tplc="0C090001" w:tentative="1">
      <w:start w:val="1"/>
      <w:numFmt w:val="bullet"/>
      <w:lvlText w:val=""/>
      <w:lvlJc w:val="left"/>
      <w:pPr>
        <w:ind w:left="1942" w:hanging="360"/>
      </w:pPr>
      <w:rPr>
        <w:rFonts w:ascii="Symbol" w:hAnsi="Symbol" w:hint="default"/>
      </w:rPr>
    </w:lvl>
    <w:lvl w:ilvl="4" w:tplc="0C090003" w:tentative="1">
      <w:start w:val="1"/>
      <w:numFmt w:val="bullet"/>
      <w:lvlText w:val="o"/>
      <w:lvlJc w:val="left"/>
      <w:pPr>
        <w:ind w:left="2662" w:hanging="360"/>
      </w:pPr>
      <w:rPr>
        <w:rFonts w:ascii="Courier New" w:hAnsi="Courier New" w:cs="Courier New" w:hint="default"/>
      </w:rPr>
    </w:lvl>
    <w:lvl w:ilvl="5" w:tplc="0C090005" w:tentative="1">
      <w:start w:val="1"/>
      <w:numFmt w:val="bullet"/>
      <w:lvlText w:val=""/>
      <w:lvlJc w:val="left"/>
      <w:pPr>
        <w:ind w:left="3382" w:hanging="360"/>
      </w:pPr>
      <w:rPr>
        <w:rFonts w:ascii="Wingdings" w:hAnsi="Wingdings" w:hint="default"/>
      </w:rPr>
    </w:lvl>
    <w:lvl w:ilvl="6" w:tplc="0C090001" w:tentative="1">
      <w:start w:val="1"/>
      <w:numFmt w:val="bullet"/>
      <w:lvlText w:val=""/>
      <w:lvlJc w:val="left"/>
      <w:pPr>
        <w:ind w:left="4102" w:hanging="360"/>
      </w:pPr>
      <w:rPr>
        <w:rFonts w:ascii="Symbol" w:hAnsi="Symbol" w:hint="default"/>
      </w:rPr>
    </w:lvl>
    <w:lvl w:ilvl="7" w:tplc="0C090003" w:tentative="1">
      <w:start w:val="1"/>
      <w:numFmt w:val="bullet"/>
      <w:lvlText w:val="o"/>
      <w:lvlJc w:val="left"/>
      <w:pPr>
        <w:ind w:left="4822" w:hanging="360"/>
      </w:pPr>
      <w:rPr>
        <w:rFonts w:ascii="Courier New" w:hAnsi="Courier New" w:cs="Courier New" w:hint="default"/>
      </w:rPr>
    </w:lvl>
    <w:lvl w:ilvl="8" w:tplc="0C090005" w:tentative="1">
      <w:start w:val="1"/>
      <w:numFmt w:val="bullet"/>
      <w:lvlText w:val=""/>
      <w:lvlJc w:val="left"/>
      <w:pPr>
        <w:ind w:left="5542" w:hanging="360"/>
      </w:pPr>
      <w:rPr>
        <w:rFonts w:ascii="Wingdings" w:hAnsi="Wingdings" w:hint="default"/>
      </w:rPr>
    </w:lvl>
  </w:abstractNum>
  <w:abstractNum w:abstractNumId="3" w15:restartNumberingAfterBreak="0">
    <w:nsid w:val="0344654C"/>
    <w:multiLevelType w:val="hybridMultilevel"/>
    <w:tmpl w:val="5BE85922"/>
    <w:lvl w:ilvl="0" w:tplc="FFFFFFFF">
      <w:start w:val="1"/>
      <w:numFmt w:val="upperLetter"/>
      <w:lvlText w:val="%1."/>
      <w:lvlJc w:val="left"/>
      <w:pPr>
        <w:ind w:left="720" w:hanging="360"/>
      </w:pPr>
    </w:lvl>
    <w:lvl w:ilvl="1" w:tplc="FD146BF6">
      <w:start w:val="1"/>
      <w:numFmt w:val="upperLetter"/>
      <w:lvlText w:val="%2."/>
      <w:lvlJc w:val="left"/>
      <w:pPr>
        <w:ind w:left="502"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8C086E"/>
    <w:multiLevelType w:val="hybridMultilevel"/>
    <w:tmpl w:val="1ABE5F66"/>
    <w:lvl w:ilvl="0" w:tplc="03309D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F07C62"/>
    <w:multiLevelType w:val="hybridMultilevel"/>
    <w:tmpl w:val="6E38C5E8"/>
    <w:lvl w:ilvl="0" w:tplc="0C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EC5C0E"/>
    <w:multiLevelType w:val="hybridMultilevel"/>
    <w:tmpl w:val="7BF01DF0"/>
    <w:lvl w:ilvl="0" w:tplc="FFFFFFFF">
      <w:start w:val="1"/>
      <w:numFmt w:val="upperLetter"/>
      <w:lvlText w:val="%1."/>
      <w:lvlJc w:val="left"/>
      <w:pPr>
        <w:ind w:left="720" w:hanging="360"/>
      </w:pPr>
    </w:lvl>
    <w:lvl w:ilvl="1" w:tplc="0C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094711"/>
    <w:multiLevelType w:val="hybridMultilevel"/>
    <w:tmpl w:val="F370D5D8"/>
    <w:lvl w:ilvl="0" w:tplc="0C090015">
      <w:start w:val="1"/>
      <w:numFmt w:val="upperLetter"/>
      <w:lvlText w:val="%1."/>
      <w:lvlJc w:val="left"/>
      <w:pPr>
        <w:ind w:left="720" w:hanging="360"/>
      </w:pPr>
    </w:lvl>
    <w:lvl w:ilvl="1" w:tplc="4A90DF48">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BB553B"/>
    <w:multiLevelType w:val="hybridMultilevel"/>
    <w:tmpl w:val="108C1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F97914"/>
    <w:multiLevelType w:val="multilevel"/>
    <w:tmpl w:val="C20AAEEC"/>
    <w:lvl w:ilvl="0">
      <w:start w:val="1"/>
      <w:numFmt w:val="decimal"/>
      <w:lvlText w:val="%1."/>
      <w:lvlJc w:val="left"/>
      <w:pPr>
        <w:tabs>
          <w:tab w:val="num" w:pos="567"/>
        </w:tabs>
        <w:ind w:left="567" w:hanging="567"/>
      </w:pPr>
      <w:rPr>
        <w:rFonts w:hint="default"/>
        <w:b/>
        <w:bCs/>
      </w:rPr>
    </w:lvl>
    <w:lvl w:ilvl="1">
      <w:start w:val="1"/>
      <w:numFmt w:val="decimal"/>
      <w:pStyle w:val="CGQHL2"/>
      <w:lvlText w:val="%1.%2"/>
      <w:lvlJc w:val="left"/>
      <w:pPr>
        <w:tabs>
          <w:tab w:val="num" w:pos="1247"/>
        </w:tabs>
        <w:ind w:left="1247" w:hanging="680"/>
      </w:pPr>
      <w:rPr>
        <w:rFonts w:hint="default"/>
        <w:b/>
        <w:bCs/>
      </w:rPr>
    </w:lvl>
    <w:lvl w:ilvl="2">
      <w:start w:val="1"/>
      <w:numFmt w:val="decimal"/>
      <w:lvlText w:val="%1.%2.%3"/>
      <w:lvlJc w:val="left"/>
      <w:pPr>
        <w:tabs>
          <w:tab w:val="num" w:pos="1985"/>
        </w:tabs>
        <w:ind w:left="1985" w:hanging="738"/>
      </w:pPr>
      <w:rPr>
        <w:rFonts w:hint="default"/>
      </w:rPr>
    </w:lvl>
    <w:lvl w:ilvl="3">
      <w:start w:val="1"/>
      <w:numFmt w:val="lowerLetter"/>
      <w:lvlText w:val="%4."/>
      <w:lvlJc w:val="left"/>
      <w:pPr>
        <w:tabs>
          <w:tab w:val="num" w:pos="2381"/>
        </w:tabs>
        <w:ind w:left="2381" w:hanging="396"/>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81722EB"/>
    <w:multiLevelType w:val="hybridMultilevel"/>
    <w:tmpl w:val="7A7A2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474553"/>
    <w:multiLevelType w:val="hybridMultilevel"/>
    <w:tmpl w:val="86EA236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C70591"/>
    <w:multiLevelType w:val="hybridMultilevel"/>
    <w:tmpl w:val="754E9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60459D"/>
    <w:multiLevelType w:val="hybridMultilevel"/>
    <w:tmpl w:val="4450383C"/>
    <w:lvl w:ilvl="0" w:tplc="6D6AEB9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0B4C46"/>
    <w:multiLevelType w:val="hybridMultilevel"/>
    <w:tmpl w:val="E2149AD8"/>
    <w:lvl w:ilvl="0" w:tplc="D7AA56B2">
      <w:start w:val="1"/>
      <w:numFmt w:val="upperLetter"/>
      <w:lvlText w:val="%1."/>
      <w:lvlJc w:val="left"/>
      <w:pPr>
        <w:ind w:left="720" w:hanging="360"/>
      </w:pPr>
      <w:rPr>
        <w:b w:val="0"/>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5D44E7"/>
    <w:multiLevelType w:val="hybridMultilevel"/>
    <w:tmpl w:val="1FF0997A"/>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974F5B"/>
    <w:multiLevelType w:val="hybridMultilevel"/>
    <w:tmpl w:val="1FA0902C"/>
    <w:lvl w:ilvl="0" w:tplc="FFFFFFFF">
      <w:start w:val="1"/>
      <w:numFmt w:val="upperLetter"/>
      <w:lvlText w:val="%1."/>
      <w:lvlJc w:val="left"/>
      <w:pPr>
        <w:ind w:left="720" w:hanging="360"/>
      </w:pPr>
    </w:lvl>
    <w:lvl w:ilvl="1" w:tplc="0C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2E29F0"/>
    <w:multiLevelType w:val="hybridMultilevel"/>
    <w:tmpl w:val="483A45C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F8761F"/>
    <w:multiLevelType w:val="hybridMultilevel"/>
    <w:tmpl w:val="0F3A963C"/>
    <w:lvl w:ilvl="0" w:tplc="0EF64B66">
      <w:start w:val="1"/>
      <w:numFmt w:val="upp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4465A9"/>
    <w:multiLevelType w:val="hybridMultilevel"/>
    <w:tmpl w:val="3BCC8488"/>
    <w:lvl w:ilvl="0" w:tplc="0C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11E1987"/>
    <w:multiLevelType w:val="hybridMultilevel"/>
    <w:tmpl w:val="5EEE2E9E"/>
    <w:lvl w:ilvl="0" w:tplc="B8C4CBC6">
      <w:start w:val="1"/>
      <w:numFmt w:val="upperLetter"/>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C33B80"/>
    <w:multiLevelType w:val="hybridMultilevel"/>
    <w:tmpl w:val="AAAC2AD2"/>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F062AD"/>
    <w:multiLevelType w:val="multilevel"/>
    <w:tmpl w:val="BE0C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FC3001"/>
    <w:multiLevelType w:val="hybridMultilevel"/>
    <w:tmpl w:val="93140F9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CE374D"/>
    <w:multiLevelType w:val="hybridMultilevel"/>
    <w:tmpl w:val="97B4628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AC6471"/>
    <w:multiLevelType w:val="hybridMultilevel"/>
    <w:tmpl w:val="03D41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AD5F47"/>
    <w:multiLevelType w:val="hybridMultilevel"/>
    <w:tmpl w:val="02302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B16B9F"/>
    <w:multiLevelType w:val="hybridMultilevel"/>
    <w:tmpl w:val="A150FE2C"/>
    <w:lvl w:ilvl="0" w:tplc="70968E24">
      <w:start w:val="1"/>
      <w:numFmt w:val="upp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2B0240"/>
    <w:multiLevelType w:val="hybridMultilevel"/>
    <w:tmpl w:val="20444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CB1863"/>
    <w:multiLevelType w:val="hybridMultilevel"/>
    <w:tmpl w:val="8A1007F4"/>
    <w:lvl w:ilvl="0" w:tplc="552C1122">
      <w:start w:val="1"/>
      <w:numFmt w:val="upp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04407436">
    <w:abstractNumId w:val="9"/>
  </w:num>
  <w:num w:numId="2" w16cid:durableId="1655453120">
    <w:abstractNumId w:val="9"/>
  </w:num>
  <w:num w:numId="3" w16cid:durableId="534315590">
    <w:abstractNumId w:val="2"/>
  </w:num>
  <w:num w:numId="4" w16cid:durableId="1826168119">
    <w:abstractNumId w:val="8"/>
  </w:num>
  <w:num w:numId="5" w16cid:durableId="822623825">
    <w:abstractNumId w:val="12"/>
  </w:num>
  <w:num w:numId="6" w16cid:durableId="1472401125">
    <w:abstractNumId w:val="26"/>
  </w:num>
  <w:num w:numId="7" w16cid:durableId="740250687">
    <w:abstractNumId w:val="25"/>
  </w:num>
  <w:num w:numId="8" w16cid:durableId="1210919833">
    <w:abstractNumId w:val="10"/>
  </w:num>
  <w:num w:numId="9" w16cid:durableId="1310019987">
    <w:abstractNumId w:val="28"/>
  </w:num>
  <w:num w:numId="10" w16cid:durableId="674308165">
    <w:abstractNumId w:val="11"/>
  </w:num>
  <w:num w:numId="11" w16cid:durableId="475416294">
    <w:abstractNumId w:val="5"/>
  </w:num>
  <w:num w:numId="12" w16cid:durableId="1577667852">
    <w:abstractNumId w:val="29"/>
  </w:num>
  <w:num w:numId="13" w16cid:durableId="1541044533">
    <w:abstractNumId w:val="22"/>
  </w:num>
  <w:num w:numId="14" w16cid:durableId="1010179426">
    <w:abstractNumId w:val="24"/>
  </w:num>
  <w:num w:numId="15" w16cid:durableId="1327586916">
    <w:abstractNumId w:val="23"/>
  </w:num>
  <w:num w:numId="16" w16cid:durableId="579171116">
    <w:abstractNumId w:val="13"/>
  </w:num>
  <w:num w:numId="17" w16cid:durableId="1581670767">
    <w:abstractNumId w:val="7"/>
  </w:num>
  <w:num w:numId="18" w16cid:durableId="2017074117">
    <w:abstractNumId w:val="4"/>
  </w:num>
  <w:num w:numId="19" w16cid:durableId="679432416">
    <w:abstractNumId w:val="17"/>
  </w:num>
  <w:num w:numId="20" w16cid:durableId="290405763">
    <w:abstractNumId w:val="16"/>
  </w:num>
  <w:num w:numId="21" w16cid:durableId="1657226696">
    <w:abstractNumId w:val="15"/>
  </w:num>
  <w:num w:numId="22" w16cid:durableId="1055347421">
    <w:abstractNumId w:val="6"/>
  </w:num>
  <w:num w:numId="23" w16cid:durableId="339508408">
    <w:abstractNumId w:val="21"/>
  </w:num>
  <w:num w:numId="24" w16cid:durableId="1822038750">
    <w:abstractNumId w:val="3"/>
  </w:num>
  <w:num w:numId="25" w16cid:durableId="1542550075">
    <w:abstractNumId w:val="19"/>
  </w:num>
  <w:num w:numId="26" w16cid:durableId="30351753">
    <w:abstractNumId w:val="14"/>
  </w:num>
  <w:num w:numId="27" w16cid:durableId="855927067">
    <w:abstractNumId w:val="0"/>
  </w:num>
  <w:num w:numId="28" w16cid:durableId="1996376648">
    <w:abstractNumId w:val="27"/>
  </w:num>
  <w:num w:numId="29" w16cid:durableId="1539125590">
    <w:abstractNumId w:val="18"/>
  </w:num>
  <w:num w:numId="30" w16cid:durableId="608588551">
    <w:abstractNumId w:val="1"/>
  </w:num>
  <w:num w:numId="31" w16cid:durableId="20558818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527"/>
    <w:rsid w:val="0001084D"/>
    <w:rsid w:val="000165A2"/>
    <w:rsid w:val="000443E9"/>
    <w:rsid w:val="0004612C"/>
    <w:rsid w:val="00071B9B"/>
    <w:rsid w:val="00072B8B"/>
    <w:rsid w:val="0007642D"/>
    <w:rsid w:val="00076649"/>
    <w:rsid w:val="00076FEF"/>
    <w:rsid w:val="000929A3"/>
    <w:rsid w:val="00094B96"/>
    <w:rsid w:val="000B0706"/>
    <w:rsid w:val="000C0EA1"/>
    <w:rsid w:val="000F6098"/>
    <w:rsid w:val="00106390"/>
    <w:rsid w:val="001566FC"/>
    <w:rsid w:val="0017504C"/>
    <w:rsid w:val="00191C5A"/>
    <w:rsid w:val="001A064E"/>
    <w:rsid w:val="001A0869"/>
    <w:rsid w:val="001A1BC9"/>
    <w:rsid w:val="001A600E"/>
    <w:rsid w:val="001B6295"/>
    <w:rsid w:val="001C1380"/>
    <w:rsid w:val="001C650B"/>
    <w:rsid w:val="001D154D"/>
    <w:rsid w:val="001E5F28"/>
    <w:rsid w:val="001F1262"/>
    <w:rsid w:val="001F55BB"/>
    <w:rsid w:val="002213AD"/>
    <w:rsid w:val="00247367"/>
    <w:rsid w:val="00252CBE"/>
    <w:rsid w:val="00257470"/>
    <w:rsid w:val="002769CB"/>
    <w:rsid w:val="00291D36"/>
    <w:rsid w:val="0029319E"/>
    <w:rsid w:val="002A6CD5"/>
    <w:rsid w:val="002E199C"/>
    <w:rsid w:val="0030676D"/>
    <w:rsid w:val="003361E9"/>
    <w:rsid w:val="0034695B"/>
    <w:rsid w:val="003505BB"/>
    <w:rsid w:val="003860A8"/>
    <w:rsid w:val="003A5BB8"/>
    <w:rsid w:val="003D3C51"/>
    <w:rsid w:val="003F2391"/>
    <w:rsid w:val="003F2FA3"/>
    <w:rsid w:val="003F7342"/>
    <w:rsid w:val="004125DE"/>
    <w:rsid w:val="00424C70"/>
    <w:rsid w:val="00427B05"/>
    <w:rsid w:val="004519E7"/>
    <w:rsid w:val="00457752"/>
    <w:rsid w:val="00464601"/>
    <w:rsid w:val="00480DF8"/>
    <w:rsid w:val="00485E14"/>
    <w:rsid w:val="00496FC5"/>
    <w:rsid w:val="004A6D18"/>
    <w:rsid w:val="004B2ABD"/>
    <w:rsid w:val="004B2FB6"/>
    <w:rsid w:val="004B3E99"/>
    <w:rsid w:val="004B4487"/>
    <w:rsid w:val="004C79E6"/>
    <w:rsid w:val="00501527"/>
    <w:rsid w:val="00530A7C"/>
    <w:rsid w:val="005375CC"/>
    <w:rsid w:val="00541B1E"/>
    <w:rsid w:val="0054338B"/>
    <w:rsid w:val="00553B37"/>
    <w:rsid w:val="005903CA"/>
    <w:rsid w:val="005C6729"/>
    <w:rsid w:val="005F1401"/>
    <w:rsid w:val="00615AF2"/>
    <w:rsid w:val="006325D2"/>
    <w:rsid w:val="00640FB1"/>
    <w:rsid w:val="0064540A"/>
    <w:rsid w:val="00652523"/>
    <w:rsid w:val="0065756F"/>
    <w:rsid w:val="00660C3E"/>
    <w:rsid w:val="00673E85"/>
    <w:rsid w:val="00685A42"/>
    <w:rsid w:val="006C4A87"/>
    <w:rsid w:val="006C79AC"/>
    <w:rsid w:val="006D430A"/>
    <w:rsid w:val="00711E16"/>
    <w:rsid w:val="00717969"/>
    <w:rsid w:val="007229DD"/>
    <w:rsid w:val="00741B97"/>
    <w:rsid w:val="00765604"/>
    <w:rsid w:val="00772279"/>
    <w:rsid w:val="00773989"/>
    <w:rsid w:val="0078462B"/>
    <w:rsid w:val="007D3906"/>
    <w:rsid w:val="007F3D9A"/>
    <w:rsid w:val="0080615C"/>
    <w:rsid w:val="008068C1"/>
    <w:rsid w:val="00852A09"/>
    <w:rsid w:val="00854302"/>
    <w:rsid w:val="00866319"/>
    <w:rsid w:val="008934E1"/>
    <w:rsid w:val="0089761F"/>
    <w:rsid w:val="008D01EE"/>
    <w:rsid w:val="008D601B"/>
    <w:rsid w:val="0091419E"/>
    <w:rsid w:val="00923479"/>
    <w:rsid w:val="00957F90"/>
    <w:rsid w:val="00961D14"/>
    <w:rsid w:val="00975AD0"/>
    <w:rsid w:val="009A5347"/>
    <w:rsid w:val="009A5554"/>
    <w:rsid w:val="009B2522"/>
    <w:rsid w:val="00A03F0E"/>
    <w:rsid w:val="00A07BC1"/>
    <w:rsid w:val="00A152D9"/>
    <w:rsid w:val="00A314E9"/>
    <w:rsid w:val="00A357FC"/>
    <w:rsid w:val="00A53B87"/>
    <w:rsid w:val="00A56430"/>
    <w:rsid w:val="00A63AD7"/>
    <w:rsid w:val="00A6525B"/>
    <w:rsid w:val="00A9057F"/>
    <w:rsid w:val="00AC21B0"/>
    <w:rsid w:val="00AE1B6F"/>
    <w:rsid w:val="00B14EDD"/>
    <w:rsid w:val="00B157EF"/>
    <w:rsid w:val="00B50716"/>
    <w:rsid w:val="00B54737"/>
    <w:rsid w:val="00B72C3E"/>
    <w:rsid w:val="00B72E11"/>
    <w:rsid w:val="00B87A1E"/>
    <w:rsid w:val="00B90EFC"/>
    <w:rsid w:val="00BB4444"/>
    <w:rsid w:val="00BC37B1"/>
    <w:rsid w:val="00BE4EC9"/>
    <w:rsid w:val="00C31F83"/>
    <w:rsid w:val="00C35828"/>
    <w:rsid w:val="00C57582"/>
    <w:rsid w:val="00C62573"/>
    <w:rsid w:val="00C75002"/>
    <w:rsid w:val="00C91519"/>
    <w:rsid w:val="00CB4BA3"/>
    <w:rsid w:val="00CC04C3"/>
    <w:rsid w:val="00CC72A6"/>
    <w:rsid w:val="00CD67FF"/>
    <w:rsid w:val="00D031BB"/>
    <w:rsid w:val="00D053F8"/>
    <w:rsid w:val="00D05FB9"/>
    <w:rsid w:val="00D1511F"/>
    <w:rsid w:val="00D25AC3"/>
    <w:rsid w:val="00D26FC2"/>
    <w:rsid w:val="00D4786B"/>
    <w:rsid w:val="00D53E4A"/>
    <w:rsid w:val="00DB1749"/>
    <w:rsid w:val="00DB4DE0"/>
    <w:rsid w:val="00DE6C54"/>
    <w:rsid w:val="00DF309B"/>
    <w:rsid w:val="00DF4C1D"/>
    <w:rsid w:val="00E10EDB"/>
    <w:rsid w:val="00E25D96"/>
    <w:rsid w:val="00E46367"/>
    <w:rsid w:val="00E542D9"/>
    <w:rsid w:val="00E624A6"/>
    <w:rsid w:val="00E70BBB"/>
    <w:rsid w:val="00E85C47"/>
    <w:rsid w:val="00E85F27"/>
    <w:rsid w:val="00EF188F"/>
    <w:rsid w:val="00F01BDE"/>
    <w:rsid w:val="00F26945"/>
    <w:rsid w:val="00F320E8"/>
    <w:rsid w:val="00F322C0"/>
    <w:rsid w:val="00F37DA6"/>
    <w:rsid w:val="00F67E37"/>
    <w:rsid w:val="00F72BA9"/>
    <w:rsid w:val="00F930EF"/>
    <w:rsid w:val="00FB2700"/>
    <w:rsid w:val="00FB6525"/>
    <w:rsid w:val="00FF23D6"/>
    <w:rsid w:val="00FF5FC9"/>
    <w:rsid w:val="00FF7D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62ACD"/>
  <w15:chartTrackingRefBased/>
  <w15:docId w15:val="{8DD89D70-28BF-42B9-90EB-A1C3EFA9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527"/>
    <w:pPr>
      <w:spacing w:line="36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QH1">
    <w:name w:val="CGQH1"/>
    <w:basedOn w:val="Normal"/>
    <w:next w:val="Normal"/>
    <w:qFormat/>
    <w:rsid w:val="003505BB"/>
    <w:pPr>
      <w:keepNext/>
      <w:spacing w:before="240" w:after="240" w:line="240" w:lineRule="auto"/>
      <w:outlineLvl w:val="0"/>
    </w:pPr>
    <w:rPr>
      <w:rFonts w:eastAsia="Times New Roman" w:cs="Times New Roman"/>
      <w:b/>
      <w:color w:val="000000"/>
      <w:kern w:val="32"/>
      <w:sz w:val="28"/>
      <w:szCs w:val="36"/>
      <w:lang w:eastAsia="en-AU"/>
    </w:rPr>
  </w:style>
  <w:style w:type="paragraph" w:customStyle="1" w:styleId="CGQH2">
    <w:name w:val="CGQH2"/>
    <w:basedOn w:val="Normal"/>
    <w:next w:val="Normal"/>
    <w:qFormat/>
    <w:rsid w:val="001C1380"/>
    <w:rPr>
      <w:rFonts w:cs="Arial"/>
      <w:b/>
      <w:bCs/>
      <w:sz w:val="24"/>
      <w:szCs w:val="24"/>
      <w:lang w:eastAsia="en-AU"/>
    </w:rPr>
  </w:style>
  <w:style w:type="paragraph" w:customStyle="1" w:styleId="CGQHL1">
    <w:name w:val="CGQHL1"/>
    <w:basedOn w:val="ListParagraph"/>
    <w:qFormat/>
    <w:rsid w:val="00B87A1E"/>
    <w:pPr>
      <w:ind w:left="0"/>
      <w:contextualSpacing w:val="0"/>
    </w:pPr>
    <w:rPr>
      <w:rFonts w:cs="Arial"/>
      <w:b/>
      <w:szCs w:val="20"/>
      <w:lang w:eastAsia="en-AU"/>
    </w:rPr>
  </w:style>
  <w:style w:type="paragraph" w:customStyle="1" w:styleId="CGQHL2">
    <w:name w:val="CGQHL2"/>
    <w:basedOn w:val="Normal"/>
    <w:qFormat/>
    <w:rsid w:val="00501527"/>
    <w:pPr>
      <w:numPr>
        <w:ilvl w:val="1"/>
        <w:numId w:val="2"/>
      </w:numPr>
    </w:pPr>
    <w:rPr>
      <w:rFonts w:cs="Arial"/>
      <w:b/>
      <w:bCs/>
      <w:szCs w:val="20"/>
    </w:rPr>
  </w:style>
  <w:style w:type="paragraph" w:styleId="ListParagraph">
    <w:name w:val="List Paragraph"/>
    <w:basedOn w:val="Normal"/>
    <w:uiPriority w:val="34"/>
    <w:qFormat/>
    <w:rsid w:val="00501527"/>
    <w:pPr>
      <w:ind w:left="720"/>
      <w:contextualSpacing/>
    </w:pPr>
  </w:style>
  <w:style w:type="paragraph" w:styleId="Header">
    <w:name w:val="header"/>
    <w:basedOn w:val="Normal"/>
    <w:link w:val="HeaderChar"/>
    <w:uiPriority w:val="99"/>
    <w:unhideWhenUsed/>
    <w:rsid w:val="00501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527"/>
    <w:rPr>
      <w:rFonts w:ascii="Arial" w:hAnsi="Arial"/>
      <w:sz w:val="20"/>
    </w:rPr>
  </w:style>
  <w:style w:type="paragraph" w:styleId="Footer">
    <w:name w:val="footer"/>
    <w:basedOn w:val="Normal"/>
    <w:link w:val="FooterChar"/>
    <w:uiPriority w:val="99"/>
    <w:unhideWhenUsed/>
    <w:rsid w:val="00501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527"/>
    <w:rPr>
      <w:rFonts w:ascii="Arial" w:hAnsi="Arial"/>
      <w:sz w:val="20"/>
    </w:rPr>
  </w:style>
  <w:style w:type="table" w:styleId="TableGridLight">
    <w:name w:val="Grid Table Light"/>
    <w:basedOn w:val="TableNormal"/>
    <w:uiPriority w:val="40"/>
    <w:rsid w:val="005015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501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DefaultParagraphFont"/>
    <w:rsid w:val="00DB4DE0"/>
  </w:style>
  <w:style w:type="character" w:styleId="Hyperlink">
    <w:name w:val="Hyperlink"/>
    <w:basedOn w:val="DefaultParagraphFont"/>
    <w:uiPriority w:val="99"/>
    <w:unhideWhenUsed/>
    <w:rsid w:val="00DB4DE0"/>
    <w:rPr>
      <w:color w:val="0000FF"/>
      <w:u w:val="single"/>
    </w:rPr>
  </w:style>
  <w:style w:type="paragraph" w:customStyle="1" w:styleId="cvgsua">
    <w:name w:val="cvgsua"/>
    <w:basedOn w:val="Normal"/>
    <w:rsid w:val="00DB4DE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3361E9"/>
    <w:rPr>
      <w:color w:val="605E5C"/>
      <w:shd w:val="clear" w:color="auto" w:fill="E1DFDD"/>
    </w:rPr>
  </w:style>
  <w:style w:type="paragraph" w:styleId="Revision">
    <w:name w:val="Revision"/>
    <w:hidden/>
    <w:uiPriority w:val="99"/>
    <w:semiHidden/>
    <w:rsid w:val="00B157EF"/>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F67E37"/>
    <w:rPr>
      <w:sz w:val="16"/>
      <w:szCs w:val="16"/>
    </w:rPr>
  </w:style>
  <w:style w:type="paragraph" w:styleId="CommentText">
    <w:name w:val="annotation text"/>
    <w:basedOn w:val="Normal"/>
    <w:link w:val="CommentTextChar"/>
    <w:uiPriority w:val="99"/>
    <w:semiHidden/>
    <w:unhideWhenUsed/>
    <w:rsid w:val="00F67E37"/>
    <w:pPr>
      <w:spacing w:line="240" w:lineRule="auto"/>
    </w:pPr>
    <w:rPr>
      <w:szCs w:val="20"/>
    </w:rPr>
  </w:style>
  <w:style w:type="character" w:customStyle="1" w:styleId="CommentTextChar">
    <w:name w:val="Comment Text Char"/>
    <w:basedOn w:val="DefaultParagraphFont"/>
    <w:link w:val="CommentText"/>
    <w:uiPriority w:val="99"/>
    <w:semiHidden/>
    <w:rsid w:val="00F67E3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67E37"/>
    <w:rPr>
      <w:b/>
      <w:bCs/>
    </w:rPr>
  </w:style>
  <w:style w:type="character" w:customStyle="1" w:styleId="CommentSubjectChar">
    <w:name w:val="Comment Subject Char"/>
    <w:basedOn w:val="CommentTextChar"/>
    <w:link w:val="CommentSubject"/>
    <w:uiPriority w:val="99"/>
    <w:semiHidden/>
    <w:rsid w:val="00F67E37"/>
    <w:rPr>
      <w:rFonts w:ascii="Arial" w:hAnsi="Arial"/>
      <w:b/>
      <w:bCs/>
      <w:sz w:val="20"/>
      <w:szCs w:val="20"/>
    </w:rPr>
  </w:style>
  <w:style w:type="paragraph" w:styleId="BalloonText">
    <w:name w:val="Balloon Text"/>
    <w:basedOn w:val="Normal"/>
    <w:link w:val="BalloonTextChar"/>
    <w:uiPriority w:val="99"/>
    <w:semiHidden/>
    <w:unhideWhenUsed/>
    <w:rsid w:val="00F67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E37"/>
    <w:rPr>
      <w:rFonts w:ascii="Segoe UI" w:hAnsi="Segoe UI" w:cs="Segoe UI"/>
      <w:sz w:val="18"/>
      <w:szCs w:val="18"/>
    </w:rPr>
  </w:style>
  <w:style w:type="character" w:styleId="UnresolvedMention">
    <w:name w:val="Unresolved Mention"/>
    <w:basedOn w:val="DefaultParagraphFont"/>
    <w:uiPriority w:val="99"/>
    <w:semiHidden/>
    <w:unhideWhenUsed/>
    <w:rsid w:val="004C7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4043">
      <w:bodyDiv w:val="1"/>
      <w:marLeft w:val="0"/>
      <w:marRight w:val="0"/>
      <w:marTop w:val="0"/>
      <w:marBottom w:val="0"/>
      <w:divBdr>
        <w:top w:val="none" w:sz="0" w:space="0" w:color="auto"/>
        <w:left w:val="none" w:sz="0" w:space="0" w:color="auto"/>
        <w:bottom w:val="none" w:sz="0" w:space="0" w:color="auto"/>
        <w:right w:val="none" w:sz="0" w:space="0" w:color="auto"/>
      </w:divBdr>
    </w:div>
    <w:div w:id="305204136">
      <w:bodyDiv w:val="1"/>
      <w:marLeft w:val="0"/>
      <w:marRight w:val="0"/>
      <w:marTop w:val="0"/>
      <w:marBottom w:val="0"/>
      <w:divBdr>
        <w:top w:val="none" w:sz="0" w:space="0" w:color="auto"/>
        <w:left w:val="none" w:sz="0" w:space="0" w:color="auto"/>
        <w:bottom w:val="none" w:sz="0" w:space="0" w:color="auto"/>
        <w:right w:val="none" w:sz="0" w:space="0" w:color="auto"/>
      </w:divBdr>
    </w:div>
    <w:div w:id="473134968">
      <w:bodyDiv w:val="1"/>
      <w:marLeft w:val="0"/>
      <w:marRight w:val="0"/>
      <w:marTop w:val="0"/>
      <w:marBottom w:val="0"/>
      <w:divBdr>
        <w:top w:val="none" w:sz="0" w:space="0" w:color="auto"/>
        <w:left w:val="none" w:sz="0" w:space="0" w:color="auto"/>
        <w:bottom w:val="none" w:sz="0" w:space="0" w:color="auto"/>
        <w:right w:val="none" w:sz="0" w:space="0" w:color="auto"/>
      </w:divBdr>
    </w:div>
    <w:div w:id="546798379">
      <w:bodyDiv w:val="1"/>
      <w:marLeft w:val="0"/>
      <w:marRight w:val="0"/>
      <w:marTop w:val="0"/>
      <w:marBottom w:val="0"/>
      <w:divBdr>
        <w:top w:val="none" w:sz="0" w:space="0" w:color="auto"/>
        <w:left w:val="none" w:sz="0" w:space="0" w:color="auto"/>
        <w:bottom w:val="none" w:sz="0" w:space="0" w:color="auto"/>
        <w:right w:val="none" w:sz="0" w:space="0" w:color="auto"/>
      </w:divBdr>
    </w:div>
    <w:div w:id="820578118">
      <w:bodyDiv w:val="1"/>
      <w:marLeft w:val="0"/>
      <w:marRight w:val="0"/>
      <w:marTop w:val="0"/>
      <w:marBottom w:val="0"/>
      <w:divBdr>
        <w:top w:val="none" w:sz="0" w:space="0" w:color="auto"/>
        <w:left w:val="none" w:sz="0" w:space="0" w:color="auto"/>
        <w:bottom w:val="none" w:sz="0" w:space="0" w:color="auto"/>
        <w:right w:val="none" w:sz="0" w:space="0" w:color="auto"/>
      </w:divBdr>
    </w:div>
    <w:div w:id="1082872431">
      <w:bodyDiv w:val="1"/>
      <w:marLeft w:val="0"/>
      <w:marRight w:val="0"/>
      <w:marTop w:val="0"/>
      <w:marBottom w:val="0"/>
      <w:divBdr>
        <w:top w:val="none" w:sz="0" w:space="0" w:color="auto"/>
        <w:left w:val="none" w:sz="0" w:space="0" w:color="auto"/>
        <w:bottom w:val="none" w:sz="0" w:space="0" w:color="auto"/>
        <w:right w:val="none" w:sz="0" w:space="0" w:color="auto"/>
      </w:divBdr>
    </w:div>
    <w:div w:id="18648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mailto:admin@cgq.org.au" TargetMode="External"/><Relationship Id="rId2" Type="http://schemas.openxmlformats.org/officeDocument/2006/relationships/customXml" Target="../customXml/item2.xml"/><Relationship Id="rId16" Type="http://schemas.openxmlformats.org/officeDocument/2006/relationships/hyperlink" Target="https://www.qhrc.qld.gov.au/complaints/making-a-compla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cgq.org.au"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8D81CF50400842823902D055956492" ma:contentTypeVersion="18" ma:contentTypeDescription="Create a new document." ma:contentTypeScope="" ma:versionID="5380a4670a9eb67592c57c0153b535e5">
  <xsd:schema xmlns:xsd="http://www.w3.org/2001/XMLSchema" xmlns:xs="http://www.w3.org/2001/XMLSchema" xmlns:p="http://schemas.microsoft.com/office/2006/metadata/properties" xmlns:ns2="660c5c05-d9db-4dac-919e-33fa97c2c359" xmlns:ns3="3058a51c-ebf3-45da-a46e-4c7994461d52" targetNamespace="http://schemas.microsoft.com/office/2006/metadata/properties" ma:root="true" ma:fieldsID="52e8bf7a98e683b7b5465eb21aaf830f" ns2:_="" ns3:_="">
    <xsd:import namespace="660c5c05-d9db-4dac-919e-33fa97c2c359"/>
    <xsd:import namespace="3058a51c-ebf3-45da-a46e-4c7994461d52"/>
    <xsd:element name="properties">
      <xsd:complexType>
        <xsd:sequence>
          <xsd:element name="documentManagement">
            <xsd:complexType>
              <xsd:all>
                <xsd:element ref="ns2:MediaServiceKeyPoints" minOccurs="0"/>
                <xsd:element ref="ns2:MediaServiceOCR" minOccurs="0"/>
                <xsd:element ref="ns2:MediaServiceMetadata" minOccurs="0"/>
                <xsd:element ref="ns2:MediaServiceFastMetadata" minOccurs="0"/>
                <xsd:element ref="ns2:MediaServiceAutoKeyPoint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c5c05-d9db-4dac-919e-33fa97c2c359" elementFormDefault="qualified">
    <xsd:import namespace="http://schemas.microsoft.com/office/2006/documentManagement/types"/>
    <xsd:import namespace="http://schemas.microsoft.com/office/infopath/2007/PartnerControls"/>
    <xsd:element name="MediaServiceKeyPoints" ma:index="8" nillable="true" ma:displayName="KeyPoints" ma:internalName="MediaServiceKeyPoints" ma:readOnly="true">
      <xsd:simpleType>
        <xsd:restriction base="dms:Note">
          <xsd:maxLength value="255"/>
        </xsd:restriction>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0657dfa-f651-4b50-94d5-3bd51943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58a51c-ebf3-45da-a46e-4c7994461d5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2ae894-e8fc-4441-a47c-de32c513598a}" ma:internalName="TaxCatchAll" ma:showField="CatchAllData" ma:web="3058a51c-ebf3-45da-a46e-4c7994461d5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0c5c05-d9db-4dac-919e-33fa97c2c359">
      <Terms xmlns="http://schemas.microsoft.com/office/infopath/2007/PartnerControls"/>
    </lcf76f155ced4ddcb4097134ff3c332f>
    <TaxCatchAll xmlns="3058a51c-ebf3-45da-a46e-4c7994461d52" xsi:nil="true"/>
    <SharedWithUsers xmlns="3058a51c-ebf3-45da-a46e-4c7994461d52">
      <UserInfo>
        <DisplayName>Erin Smith</DisplayName>
        <AccountId>16</AccountId>
        <AccountType/>
      </UserInfo>
      <UserInfo>
        <DisplayName>Sue Pope</DisplayName>
        <AccountId>73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18004-FE93-4F84-B201-C2D232CDB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c5c05-d9db-4dac-919e-33fa97c2c359"/>
    <ds:schemaRef ds:uri="3058a51c-ebf3-45da-a46e-4c7994461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5D4F8-1AD6-49E1-960F-228192496B82}">
  <ds:schemaRefs>
    <ds:schemaRef ds:uri="http://schemas.microsoft.com/sharepoint/v3/contenttype/forms"/>
  </ds:schemaRefs>
</ds:datastoreItem>
</file>

<file path=customXml/itemProps3.xml><?xml version="1.0" encoding="utf-8"?>
<ds:datastoreItem xmlns:ds="http://schemas.openxmlformats.org/officeDocument/2006/customXml" ds:itemID="{B2DE5AED-D55C-42A0-B0A7-BB0A50714F98}">
  <ds:schemaRefs>
    <ds:schemaRef ds:uri="http://schemas.microsoft.com/office/2006/metadata/properties"/>
    <ds:schemaRef ds:uri="http://schemas.microsoft.com/office/infopath/2007/PartnerControls"/>
    <ds:schemaRef ds:uri="660c5c05-d9db-4dac-919e-33fa97c2c359"/>
    <ds:schemaRef ds:uri="3058a51c-ebf3-45da-a46e-4c7994461d52"/>
  </ds:schemaRefs>
</ds:datastoreItem>
</file>

<file path=customXml/itemProps4.xml><?xml version="1.0" encoding="utf-8"?>
<ds:datastoreItem xmlns:ds="http://schemas.openxmlformats.org/officeDocument/2006/customXml" ds:itemID="{D228FB86-70C5-44A7-8CBC-A53A404B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5</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Stevie Ackerman</dc:creator>
  <cp:keywords/>
  <dc:description/>
  <cp:lastModifiedBy>Ilham Nafian</cp:lastModifiedBy>
  <cp:revision>60</cp:revision>
  <cp:lastPrinted>2024-05-16T16:33:00Z</cp:lastPrinted>
  <dcterms:created xsi:type="dcterms:W3CDTF">2024-05-07T19:58:00Z</dcterms:created>
  <dcterms:modified xsi:type="dcterms:W3CDTF">2024-06-24T06:36:00Z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0x0101007F8D81CF50400842823902D055956492</vt:lpwstr>
  </property>
  <property fmtid="{D5CDD505-2E9C-101B-9397-08002B2CF9AE}" pid="3" name="MediaServiceImageTags">
    <vt:lpwstr/>
  </property>
</Properties>
</file>