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8B71" w14:textId="02E829E4" w:rsidR="00BF4481" w:rsidRPr="00BF4481" w:rsidRDefault="00BF4481" w:rsidP="00CE2356">
      <w:pPr>
        <w:pStyle w:val="CGQH1"/>
      </w:pPr>
      <w:r w:rsidRPr="00BF4481">
        <w:t>Safeguarding Policy</w:t>
      </w:r>
    </w:p>
    <w:p w14:paraId="5AE330BD" w14:textId="00AA54BA" w:rsidR="00BF4481" w:rsidRPr="00BF4481" w:rsidRDefault="00BF4481" w:rsidP="00BF4481">
      <w:pPr>
        <w:autoSpaceDE w:val="0"/>
        <w:autoSpaceDN w:val="0"/>
        <w:adjustRightInd w:val="0"/>
        <w:spacing w:after="0" w:line="280" w:lineRule="atLeast"/>
        <w:rPr>
          <w:rFonts w:eastAsia="Times New Roman" w:cs="Arial"/>
          <w:color w:val="000000"/>
          <w:szCs w:val="20"/>
          <w:lang w:eastAsia="en-AU"/>
        </w:rPr>
      </w:pPr>
      <w:r w:rsidRPr="00BF4481">
        <w:rPr>
          <w:rFonts w:eastAsia="Times New Roman" w:cs="Arial"/>
          <w:color w:val="000000"/>
          <w:szCs w:val="20"/>
          <w:lang w:eastAsia="en-AU"/>
        </w:rPr>
        <w:t xml:space="preserve">All people, regardless of their age, gender, race, religious beliefs, </w:t>
      </w:r>
      <w:r w:rsidR="00CD4953">
        <w:rPr>
          <w:rFonts w:eastAsia="Times New Roman" w:cs="Arial"/>
          <w:color w:val="000000"/>
          <w:szCs w:val="20"/>
          <w:lang w:eastAsia="en-AU"/>
        </w:rPr>
        <w:t>ability</w:t>
      </w:r>
      <w:r w:rsidRPr="00BF4481">
        <w:rPr>
          <w:rFonts w:eastAsia="Times New Roman" w:cs="Arial"/>
          <w:color w:val="000000"/>
          <w:szCs w:val="20"/>
          <w:lang w:eastAsia="en-AU"/>
        </w:rPr>
        <w:t xml:space="preserve">, sexual orientation, or family or social background, have equal rights to protection from abuse, neglect or exploitation. </w:t>
      </w:r>
    </w:p>
    <w:p w14:paraId="58D1A677" w14:textId="77777777" w:rsidR="00BF4481" w:rsidRPr="00BF4481" w:rsidRDefault="00BF4481" w:rsidP="00BF4481">
      <w:pPr>
        <w:autoSpaceDE w:val="0"/>
        <w:autoSpaceDN w:val="0"/>
        <w:adjustRightInd w:val="0"/>
        <w:spacing w:after="0" w:line="280" w:lineRule="atLeast"/>
        <w:rPr>
          <w:rFonts w:eastAsia="Times New Roman" w:cs="Arial"/>
          <w:color w:val="000000"/>
          <w:szCs w:val="20"/>
          <w:lang w:eastAsia="en-AU"/>
        </w:rPr>
      </w:pPr>
    </w:p>
    <w:p w14:paraId="7DEBFAF8" w14:textId="77777777" w:rsidR="00BF4481" w:rsidRPr="00BF4481" w:rsidRDefault="00BF4481" w:rsidP="00BF4481">
      <w:pPr>
        <w:autoSpaceDE w:val="0"/>
        <w:autoSpaceDN w:val="0"/>
        <w:adjustRightInd w:val="0"/>
        <w:spacing w:after="0" w:line="280" w:lineRule="atLeast"/>
        <w:rPr>
          <w:rFonts w:eastAsia="Times New Roman" w:cs="Arial"/>
          <w:color w:val="000000"/>
          <w:szCs w:val="20"/>
          <w:lang w:eastAsia="en-AU"/>
        </w:rPr>
      </w:pPr>
      <w:r w:rsidRPr="00BF4481">
        <w:rPr>
          <w:rFonts w:eastAsia="Times New Roman" w:cs="Arial"/>
          <w:color w:val="000000"/>
          <w:szCs w:val="20"/>
          <w:lang w:eastAsia="en-AU"/>
        </w:rPr>
        <w:t xml:space="preserve">Common Ground Queensland is committed to promoting and protecting the welfare and human rights of people living in or visiting Common Ground Queensland supportive housing properties – particularly those that might be at risk of abuse, neglect or exploitation. </w:t>
      </w:r>
    </w:p>
    <w:p w14:paraId="6107F0D5" w14:textId="77777777" w:rsidR="00BF4481" w:rsidRPr="00BF4481" w:rsidRDefault="00BF4481" w:rsidP="00BF4481">
      <w:pPr>
        <w:autoSpaceDE w:val="0"/>
        <w:autoSpaceDN w:val="0"/>
        <w:adjustRightInd w:val="0"/>
        <w:spacing w:after="0" w:line="280" w:lineRule="atLeast"/>
        <w:rPr>
          <w:rFonts w:eastAsia="Times New Roman" w:cs="Arial"/>
          <w:color w:val="000000"/>
          <w:szCs w:val="20"/>
          <w:lang w:eastAsia="en-AU"/>
        </w:rPr>
      </w:pPr>
    </w:p>
    <w:p w14:paraId="08AEF539" w14:textId="77777777" w:rsidR="00BF4481" w:rsidRPr="00BF4481" w:rsidRDefault="00BF4481" w:rsidP="00BF4481">
      <w:pPr>
        <w:autoSpaceDE w:val="0"/>
        <w:autoSpaceDN w:val="0"/>
        <w:adjustRightInd w:val="0"/>
        <w:spacing w:after="0" w:line="280" w:lineRule="atLeast"/>
        <w:rPr>
          <w:rFonts w:eastAsia="Times New Roman" w:cs="Arial"/>
          <w:color w:val="000000"/>
          <w:szCs w:val="20"/>
          <w:lang w:eastAsia="en-AU"/>
        </w:rPr>
      </w:pPr>
      <w:r w:rsidRPr="00BF4481">
        <w:rPr>
          <w:rFonts w:eastAsia="Times New Roman" w:cs="Arial"/>
          <w:color w:val="000000"/>
          <w:szCs w:val="20"/>
          <w:lang w:eastAsia="en-AU"/>
        </w:rPr>
        <w:t xml:space="preserve">All staff, volunteers, partners and third parties of Common Ground Queensland share responsibility for protecting everyone from abuse, neglect or exploitation. Common Ground Queensland is committed to implementing the </w:t>
      </w:r>
      <w:r w:rsidRPr="00BF4481">
        <w:rPr>
          <w:rFonts w:eastAsia="Times New Roman" w:cs="Arial"/>
          <w:i/>
          <w:color w:val="000000"/>
          <w:szCs w:val="20"/>
          <w:lang w:eastAsia="en-AU"/>
        </w:rPr>
        <w:t>Safeguarding Policy</w:t>
      </w:r>
      <w:r w:rsidRPr="00BF4481">
        <w:rPr>
          <w:rFonts w:eastAsia="Times New Roman" w:cs="Arial"/>
          <w:color w:val="000000"/>
          <w:szCs w:val="20"/>
          <w:lang w:eastAsia="en-AU"/>
        </w:rPr>
        <w:t xml:space="preserve"> and to training our employees, directors, contractors and volunteers in its content and application.</w:t>
      </w:r>
    </w:p>
    <w:p w14:paraId="3B023704" w14:textId="77777777" w:rsidR="00BF4481" w:rsidRPr="00BF4481" w:rsidRDefault="00BF4481" w:rsidP="00BF4481">
      <w:pPr>
        <w:autoSpaceDE w:val="0"/>
        <w:autoSpaceDN w:val="0"/>
        <w:adjustRightInd w:val="0"/>
        <w:spacing w:after="0" w:line="280" w:lineRule="atLeast"/>
        <w:rPr>
          <w:rFonts w:eastAsia="Times New Roman" w:cs="Arial"/>
          <w:b/>
          <w:color w:val="000000"/>
          <w:szCs w:val="20"/>
          <w:lang w:eastAsia="en-AU"/>
        </w:rPr>
      </w:pPr>
    </w:p>
    <w:p w14:paraId="6E53C5B1" w14:textId="5388838B" w:rsidR="00BF4481" w:rsidRPr="00CE2356" w:rsidRDefault="00BF4481" w:rsidP="00CE2356">
      <w:pPr>
        <w:pStyle w:val="CGQHL1"/>
        <w:rPr>
          <w:lang w:eastAsia="en-AU"/>
        </w:rPr>
      </w:pPr>
      <w:r w:rsidRPr="00BF4481">
        <w:rPr>
          <w:lang w:eastAsia="en-AU"/>
        </w:rPr>
        <w:t>Scope</w:t>
      </w:r>
    </w:p>
    <w:p w14:paraId="1ED4096B" w14:textId="77777777" w:rsidR="00BF4481" w:rsidRPr="00BF4481" w:rsidRDefault="00BF4481" w:rsidP="00BF4481">
      <w:pPr>
        <w:autoSpaceDE w:val="0"/>
        <w:autoSpaceDN w:val="0"/>
        <w:adjustRightInd w:val="0"/>
        <w:spacing w:after="0" w:line="280" w:lineRule="atLeast"/>
        <w:rPr>
          <w:rFonts w:eastAsia="Times New Roman" w:cs="Arial"/>
          <w:color w:val="000000"/>
          <w:szCs w:val="20"/>
          <w:lang w:eastAsia="en-AU"/>
        </w:rPr>
      </w:pPr>
      <w:r w:rsidRPr="00BF4481">
        <w:rPr>
          <w:rFonts w:eastAsia="Times New Roman" w:cs="Arial"/>
          <w:color w:val="000000"/>
          <w:szCs w:val="20"/>
          <w:lang w:eastAsia="en-AU"/>
        </w:rPr>
        <w:t>This policy applies to:</w:t>
      </w:r>
    </w:p>
    <w:p w14:paraId="477A19EC" w14:textId="004C8ED7" w:rsidR="00BF4481" w:rsidRPr="00BF4481" w:rsidRDefault="00BF4481" w:rsidP="00BF4481">
      <w:pPr>
        <w:numPr>
          <w:ilvl w:val="0"/>
          <w:numId w:val="6"/>
        </w:numPr>
        <w:autoSpaceDE w:val="0"/>
        <w:autoSpaceDN w:val="0"/>
        <w:adjustRightInd w:val="0"/>
        <w:spacing w:after="0" w:line="280" w:lineRule="atLeast"/>
        <w:rPr>
          <w:rFonts w:eastAsia="Times New Roman" w:cs="Arial"/>
          <w:color w:val="000000"/>
          <w:szCs w:val="20"/>
          <w:lang w:eastAsia="en-AU"/>
        </w:rPr>
      </w:pPr>
      <w:r w:rsidRPr="00BF4481">
        <w:rPr>
          <w:rFonts w:eastAsia="Times New Roman" w:cs="Arial"/>
          <w:color w:val="000000"/>
          <w:szCs w:val="20"/>
          <w:lang w:eastAsia="en-AU"/>
        </w:rPr>
        <w:t>All tenants and visitors of Common Ground Queensland supportive housing properties</w:t>
      </w:r>
    </w:p>
    <w:p w14:paraId="32415A96" w14:textId="77777777" w:rsidR="00BF4481" w:rsidRPr="00BF4481" w:rsidRDefault="00BF4481" w:rsidP="00BF4481">
      <w:pPr>
        <w:numPr>
          <w:ilvl w:val="0"/>
          <w:numId w:val="6"/>
        </w:numPr>
        <w:autoSpaceDE w:val="0"/>
        <w:autoSpaceDN w:val="0"/>
        <w:adjustRightInd w:val="0"/>
        <w:spacing w:after="0" w:line="280" w:lineRule="atLeast"/>
        <w:rPr>
          <w:rFonts w:eastAsia="Times New Roman" w:cs="Arial"/>
          <w:color w:val="000000"/>
          <w:szCs w:val="20"/>
          <w:lang w:eastAsia="en-AU"/>
        </w:rPr>
      </w:pPr>
      <w:r w:rsidRPr="00BF4481">
        <w:rPr>
          <w:rFonts w:eastAsia="Times New Roman" w:cs="Arial"/>
          <w:color w:val="000000"/>
          <w:szCs w:val="20"/>
          <w:lang w:eastAsia="en-AU"/>
        </w:rPr>
        <w:t>All staff (employees and volunteers</w:t>
      </w:r>
      <w:r w:rsidRPr="00BF4481">
        <w:rPr>
          <w:rFonts w:eastAsia="Times New Roman" w:cs="Arial"/>
          <w:color w:val="000000"/>
          <w:szCs w:val="20"/>
          <w:vertAlign w:val="superscript"/>
          <w:lang w:eastAsia="en-AU"/>
        </w:rPr>
        <w:footnoteReference w:id="1"/>
      </w:r>
      <w:r w:rsidRPr="00BF4481">
        <w:rPr>
          <w:rFonts w:eastAsia="Times New Roman" w:cs="Arial"/>
          <w:color w:val="000000"/>
          <w:szCs w:val="20"/>
          <w:lang w:eastAsia="en-AU"/>
        </w:rPr>
        <w:t>), directors, contractors, partners</w:t>
      </w:r>
      <w:r w:rsidRPr="00BF4481">
        <w:rPr>
          <w:rFonts w:eastAsia="Times New Roman" w:cs="Arial"/>
          <w:color w:val="000000"/>
          <w:szCs w:val="20"/>
          <w:vertAlign w:val="superscript"/>
          <w:lang w:eastAsia="en-AU"/>
        </w:rPr>
        <w:footnoteReference w:id="2"/>
      </w:r>
      <w:r w:rsidRPr="00BF4481">
        <w:rPr>
          <w:rFonts w:eastAsia="Times New Roman" w:cs="Arial"/>
          <w:color w:val="000000"/>
          <w:szCs w:val="20"/>
          <w:lang w:eastAsia="en-AU"/>
        </w:rPr>
        <w:t xml:space="preserve"> and associates</w:t>
      </w:r>
      <w:r w:rsidRPr="00BF4481">
        <w:rPr>
          <w:rFonts w:eastAsia="Times New Roman" w:cs="Arial"/>
          <w:color w:val="000000"/>
          <w:szCs w:val="20"/>
          <w:vertAlign w:val="superscript"/>
          <w:lang w:eastAsia="en-AU"/>
        </w:rPr>
        <w:footnoteReference w:id="3"/>
      </w:r>
      <w:r w:rsidRPr="00BF4481">
        <w:rPr>
          <w:rFonts w:eastAsia="Times New Roman" w:cs="Arial"/>
          <w:color w:val="000000"/>
          <w:szCs w:val="20"/>
          <w:lang w:eastAsia="en-AU"/>
        </w:rPr>
        <w:t xml:space="preserve"> within Common Ground Queensland or engaged by Common Ground Queensland.</w:t>
      </w:r>
    </w:p>
    <w:p w14:paraId="103CFCE5" w14:textId="77777777" w:rsidR="00BF4481" w:rsidRPr="00BF4481" w:rsidRDefault="00BF4481" w:rsidP="00BF4481">
      <w:pPr>
        <w:autoSpaceDE w:val="0"/>
        <w:autoSpaceDN w:val="0"/>
        <w:adjustRightInd w:val="0"/>
        <w:spacing w:after="0" w:line="280" w:lineRule="atLeast"/>
        <w:rPr>
          <w:rFonts w:eastAsia="Times New Roman" w:cs="Arial"/>
          <w:b/>
          <w:bCs/>
          <w:color w:val="000000"/>
          <w:szCs w:val="20"/>
          <w:lang w:eastAsia="en-AU"/>
        </w:rPr>
      </w:pPr>
    </w:p>
    <w:p w14:paraId="3F2E2864" w14:textId="4674DE25" w:rsidR="00BF4481" w:rsidRPr="00CE2356" w:rsidRDefault="00BF4481" w:rsidP="00CE2356">
      <w:pPr>
        <w:pStyle w:val="CGQHL1"/>
        <w:rPr>
          <w:lang w:eastAsia="en-AU"/>
        </w:rPr>
      </w:pPr>
      <w:r w:rsidRPr="00BF4481">
        <w:rPr>
          <w:lang w:eastAsia="en-AU"/>
        </w:rPr>
        <w:t>Definitions</w:t>
      </w:r>
    </w:p>
    <w:p w14:paraId="68D049B6" w14:textId="77777777" w:rsidR="00BF4481" w:rsidRPr="00BF4481" w:rsidRDefault="00BF4481" w:rsidP="00BF4481">
      <w:pPr>
        <w:spacing w:after="0" w:line="280" w:lineRule="atLeast"/>
        <w:rPr>
          <w:rFonts w:eastAsia="Times New Roman" w:cs="Arial"/>
          <w:bCs/>
          <w:szCs w:val="20"/>
          <w:lang w:eastAsia="en-AU"/>
        </w:rPr>
      </w:pPr>
      <w:r w:rsidRPr="00BF4481">
        <w:rPr>
          <w:rFonts w:eastAsia="Times New Roman" w:cs="Arial"/>
          <w:bCs/>
          <w:szCs w:val="20"/>
          <w:lang w:eastAsia="en-AU"/>
        </w:rPr>
        <w:t>‘Safeguarding’ means protecting the welfare and human rights of people that interact with, or are affected by, Common Ground Queensland, particularly those that might be at risk of abuse, neglect or exploitation. This refers to any responsibility or measure undertaken to protect a person from harm.</w:t>
      </w:r>
    </w:p>
    <w:p w14:paraId="19A8AC9A" w14:textId="77777777" w:rsidR="00BF4481" w:rsidRPr="00BF4481" w:rsidRDefault="00BF4481" w:rsidP="00BF4481">
      <w:pPr>
        <w:spacing w:after="0" w:line="280" w:lineRule="atLeast"/>
        <w:rPr>
          <w:rFonts w:eastAsia="Times New Roman" w:cs="Arial"/>
          <w:bCs/>
          <w:szCs w:val="20"/>
          <w:lang w:eastAsia="en-AU"/>
        </w:rPr>
      </w:pPr>
      <w:r w:rsidRPr="00BF4481">
        <w:rPr>
          <w:rFonts w:eastAsia="Times New Roman" w:cs="Arial"/>
          <w:bCs/>
          <w:szCs w:val="20"/>
          <w:lang w:eastAsia="en-AU"/>
        </w:rPr>
        <w:t xml:space="preserve"> </w:t>
      </w:r>
    </w:p>
    <w:p w14:paraId="76F24F7B" w14:textId="77777777" w:rsidR="00BF4481" w:rsidRPr="00BF4481" w:rsidRDefault="00BF4481" w:rsidP="00BF4481">
      <w:p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who may be particularly at risk can include:</w:t>
      </w:r>
    </w:p>
    <w:p w14:paraId="48E02316" w14:textId="19E0E181"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who are aged or frail</w:t>
      </w:r>
    </w:p>
    <w:p w14:paraId="59AED124" w14:textId="6337C915"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with impaired intellectual or physical functioning</w:t>
      </w:r>
    </w:p>
    <w:p w14:paraId="229A3D3A" w14:textId="6E2A25CF"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from a low socio-economic background</w:t>
      </w:r>
    </w:p>
    <w:p w14:paraId="122BAA2C" w14:textId="61F967B7"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who have experienced trauma</w:t>
      </w:r>
    </w:p>
    <w:p w14:paraId="302C1421" w14:textId="380CB883"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with poor physical or mental health</w:t>
      </w:r>
    </w:p>
    <w:p w14:paraId="260D0E08" w14:textId="5B0F5C0B"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from an Aboriginal or Torres Strait Islander background</w:t>
      </w:r>
    </w:p>
    <w:p w14:paraId="5DE00CCA" w14:textId="774B05C2"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from culturally and linguistically diverse backgrounds</w:t>
      </w:r>
    </w:p>
    <w:p w14:paraId="7560A5DF" w14:textId="07A0AF6B" w:rsidR="00BF4481" w:rsidRPr="00BF4481" w:rsidRDefault="00BF4481" w:rsidP="00BF4481">
      <w:pPr>
        <w:numPr>
          <w:ilvl w:val="0"/>
          <w:numId w:val="8"/>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People with low levels of literacy or education.</w:t>
      </w:r>
    </w:p>
    <w:p w14:paraId="17C855EC" w14:textId="5863A4D2" w:rsidR="00BF4481" w:rsidRPr="00BF4481" w:rsidRDefault="00BF4481" w:rsidP="008A135D">
      <w:pPr>
        <w:autoSpaceDE w:val="0"/>
        <w:autoSpaceDN w:val="0"/>
        <w:adjustRightInd w:val="0"/>
        <w:spacing w:before="120" w:after="0" w:line="280" w:lineRule="atLeast"/>
        <w:rPr>
          <w:rFonts w:eastAsia="Times New Roman" w:cs="Arial"/>
          <w:bCs/>
          <w:color w:val="000000"/>
          <w:szCs w:val="20"/>
          <w:lang w:eastAsia="en-AU"/>
        </w:rPr>
      </w:pPr>
      <w:r w:rsidRPr="00BF4481">
        <w:rPr>
          <w:rFonts w:eastAsia="Times New Roman" w:cs="Arial"/>
          <w:bCs/>
          <w:color w:val="000000"/>
          <w:szCs w:val="20"/>
          <w:lang w:eastAsia="en-AU"/>
        </w:rPr>
        <w:lastRenderedPageBreak/>
        <w:t>‘Abuse, neglect or exploitation’ means all forms of physical and mental abuse, exploitation, coercion or ill-treatment. Incidents of harm may include:</w:t>
      </w:r>
    </w:p>
    <w:p w14:paraId="7B950696" w14:textId="1428D5AC" w:rsidR="00BF4481" w:rsidRPr="00BF4481" w:rsidRDefault="00BF4481" w:rsidP="00BF4481">
      <w:pPr>
        <w:numPr>
          <w:ilvl w:val="0"/>
          <w:numId w:val="9"/>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Sexual harassment, bullying or abuse</w:t>
      </w:r>
    </w:p>
    <w:p w14:paraId="1F2AB01D" w14:textId="7D99D410" w:rsidR="00BF4481" w:rsidRPr="00BF4481" w:rsidRDefault="00BF4481" w:rsidP="00BF4481">
      <w:pPr>
        <w:numPr>
          <w:ilvl w:val="0"/>
          <w:numId w:val="9"/>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Sexual criminal offences and serious sexual offences, such as rape</w:t>
      </w:r>
    </w:p>
    <w:p w14:paraId="43B319AF" w14:textId="11696CF1" w:rsidR="00BF4481" w:rsidRPr="00BF4481" w:rsidRDefault="00BF4481" w:rsidP="00BF4481">
      <w:pPr>
        <w:numPr>
          <w:ilvl w:val="0"/>
          <w:numId w:val="9"/>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Threats of violence or actual violence</w:t>
      </w:r>
    </w:p>
    <w:p w14:paraId="48ED1D8C" w14:textId="1485083C" w:rsidR="00BF4481" w:rsidRPr="00BF4481" w:rsidRDefault="00BF4481" w:rsidP="00BF4481">
      <w:pPr>
        <w:numPr>
          <w:ilvl w:val="0"/>
          <w:numId w:val="9"/>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Verbal, emotional or social abuse</w:t>
      </w:r>
    </w:p>
    <w:p w14:paraId="4B936EEE" w14:textId="60899DAF" w:rsidR="00BF4481" w:rsidRPr="00BF4481" w:rsidRDefault="00BF4481" w:rsidP="00BF4481">
      <w:pPr>
        <w:numPr>
          <w:ilvl w:val="0"/>
          <w:numId w:val="9"/>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Cultur</w:t>
      </w:r>
      <w:r w:rsidR="00CD4953">
        <w:rPr>
          <w:rFonts w:eastAsia="Times New Roman" w:cs="Arial"/>
          <w:bCs/>
          <w:color w:val="000000"/>
          <w:szCs w:val="20"/>
          <w:lang w:eastAsia="en-AU"/>
        </w:rPr>
        <w:t>e</w:t>
      </w:r>
      <w:r w:rsidRPr="00BF4481">
        <w:rPr>
          <w:rFonts w:eastAsia="Times New Roman" w:cs="Arial"/>
          <w:bCs/>
          <w:color w:val="000000"/>
          <w:szCs w:val="20"/>
          <w:lang w:eastAsia="en-AU"/>
        </w:rPr>
        <w:t xml:space="preserve"> or identi</w:t>
      </w:r>
      <w:r w:rsidR="00CD4953">
        <w:rPr>
          <w:rFonts w:eastAsia="Times New Roman" w:cs="Arial"/>
          <w:bCs/>
          <w:color w:val="000000"/>
          <w:szCs w:val="20"/>
          <w:lang w:eastAsia="en-AU"/>
        </w:rPr>
        <w:t>t</w:t>
      </w:r>
      <w:r w:rsidRPr="00BF4481">
        <w:rPr>
          <w:rFonts w:eastAsia="Times New Roman" w:cs="Arial"/>
          <w:bCs/>
          <w:color w:val="000000"/>
          <w:szCs w:val="20"/>
          <w:lang w:eastAsia="en-AU"/>
        </w:rPr>
        <w:t>y abuse, such as racial, sexual or gender-based discrimination or hate crimes</w:t>
      </w:r>
    </w:p>
    <w:p w14:paraId="72138FF4" w14:textId="7688795D" w:rsidR="00BF4481" w:rsidRPr="00BF4481" w:rsidRDefault="00BF4481" w:rsidP="00BF4481">
      <w:pPr>
        <w:numPr>
          <w:ilvl w:val="0"/>
          <w:numId w:val="9"/>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Coercion and exploitation</w:t>
      </w:r>
    </w:p>
    <w:p w14:paraId="065AF6D0" w14:textId="02E2F127" w:rsidR="00BF4481" w:rsidRPr="00BF4481" w:rsidRDefault="00BF4481" w:rsidP="00BF4481">
      <w:pPr>
        <w:numPr>
          <w:ilvl w:val="0"/>
          <w:numId w:val="9"/>
        </w:num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Abuse of power.</w:t>
      </w:r>
    </w:p>
    <w:p w14:paraId="6ABB31A6" w14:textId="08245C4A" w:rsidR="00BF4481" w:rsidRPr="00BF4481" w:rsidRDefault="00BF4481" w:rsidP="003B6E2F">
      <w:pPr>
        <w:autoSpaceDE w:val="0"/>
        <w:autoSpaceDN w:val="0"/>
        <w:adjustRightInd w:val="0"/>
        <w:spacing w:before="120" w:after="0" w:line="280" w:lineRule="atLeast"/>
        <w:rPr>
          <w:rFonts w:eastAsia="Times New Roman" w:cs="Arial"/>
          <w:bCs/>
          <w:color w:val="000000"/>
          <w:szCs w:val="20"/>
          <w:lang w:eastAsia="en-AU"/>
        </w:rPr>
      </w:pPr>
      <w:r w:rsidRPr="00BF4481">
        <w:rPr>
          <w:rFonts w:eastAsia="Times New Roman" w:cs="Arial"/>
          <w:bCs/>
          <w:color w:val="000000"/>
          <w:szCs w:val="20"/>
          <w:lang w:eastAsia="en-AU"/>
        </w:rPr>
        <w:t>‘Reasonable grounds to suspect’ is a situation where a person has information that leads them to believe that abuse, neglect or exploitation has taken place, is taking place, or may take place. It comes with a low burden of proof but is based on</w:t>
      </w:r>
      <w:r w:rsidR="00E70DF9">
        <w:rPr>
          <w:rFonts w:eastAsia="Times New Roman" w:cs="Arial"/>
          <w:bCs/>
          <w:color w:val="000000"/>
          <w:szCs w:val="20"/>
          <w:lang w:eastAsia="en-AU"/>
        </w:rPr>
        <w:t xml:space="preserve"> providing</w:t>
      </w:r>
      <w:r w:rsidRPr="00BF4481">
        <w:rPr>
          <w:rFonts w:eastAsia="Times New Roman" w:cs="Arial"/>
          <w:bCs/>
          <w:color w:val="000000"/>
          <w:szCs w:val="20"/>
          <w:lang w:eastAsia="en-AU"/>
        </w:rPr>
        <w:t xml:space="preserve"> some information. Questions that may help a person to determine whether they have ‘reasonable grounds to suspect’ might include:</w:t>
      </w:r>
    </w:p>
    <w:p w14:paraId="2A6C8DF7" w14:textId="77777777" w:rsidR="00BF4481" w:rsidRPr="00BF4481" w:rsidRDefault="00BF4481" w:rsidP="00CD4953">
      <w:pPr>
        <w:numPr>
          <w:ilvl w:val="0"/>
          <w:numId w:val="10"/>
        </w:numPr>
        <w:autoSpaceDE w:val="0"/>
        <w:autoSpaceDN w:val="0"/>
        <w:adjustRightInd w:val="0"/>
        <w:spacing w:before="120" w:after="0" w:line="280" w:lineRule="atLeast"/>
        <w:ind w:left="714" w:hanging="357"/>
        <w:rPr>
          <w:rFonts w:eastAsia="Times New Roman" w:cs="Arial"/>
          <w:bCs/>
          <w:color w:val="000000"/>
          <w:szCs w:val="20"/>
          <w:lang w:eastAsia="en-AU"/>
        </w:rPr>
      </w:pPr>
      <w:r w:rsidRPr="00BF4481">
        <w:rPr>
          <w:rFonts w:eastAsia="Times New Roman" w:cs="Arial"/>
          <w:bCs/>
          <w:color w:val="000000"/>
          <w:szCs w:val="20"/>
          <w:lang w:eastAsia="en-AU"/>
        </w:rPr>
        <w:t>Could you explain to another person why you suspect something? This helps to make sure that your suspicion is based on information, even if you have no proof.</w:t>
      </w:r>
    </w:p>
    <w:p w14:paraId="218EFC59" w14:textId="77777777" w:rsidR="00BF4481" w:rsidRPr="00BF4481" w:rsidRDefault="00BF4481" w:rsidP="00CD4953">
      <w:pPr>
        <w:numPr>
          <w:ilvl w:val="0"/>
          <w:numId w:val="10"/>
        </w:numPr>
        <w:autoSpaceDE w:val="0"/>
        <w:autoSpaceDN w:val="0"/>
        <w:adjustRightInd w:val="0"/>
        <w:spacing w:before="120" w:after="0" w:line="280" w:lineRule="atLeast"/>
        <w:ind w:left="714" w:hanging="357"/>
        <w:rPr>
          <w:rFonts w:eastAsia="Times New Roman" w:cs="Arial"/>
          <w:bCs/>
          <w:color w:val="000000"/>
          <w:szCs w:val="20"/>
          <w:lang w:eastAsia="en-AU"/>
        </w:rPr>
      </w:pPr>
      <w:r w:rsidRPr="00BF4481">
        <w:rPr>
          <w:rFonts w:eastAsia="Times New Roman" w:cs="Arial"/>
          <w:bCs/>
          <w:color w:val="000000"/>
          <w:szCs w:val="20"/>
          <w:lang w:eastAsia="en-AU"/>
        </w:rPr>
        <w:t>Would an objective other person, with the same information as you, come to the same conclusion? This helps to make sure that your suspicion is as objective as possible.</w:t>
      </w:r>
    </w:p>
    <w:p w14:paraId="05739DFB" w14:textId="77777777" w:rsidR="00BF4481" w:rsidRPr="00BF4481" w:rsidRDefault="00BF4481" w:rsidP="00BF4481">
      <w:pPr>
        <w:autoSpaceDE w:val="0"/>
        <w:autoSpaceDN w:val="0"/>
        <w:adjustRightInd w:val="0"/>
        <w:spacing w:after="0" w:line="280" w:lineRule="atLeast"/>
        <w:rPr>
          <w:rFonts w:eastAsia="Times New Roman" w:cs="Arial"/>
          <w:bCs/>
          <w:color w:val="000000"/>
          <w:szCs w:val="20"/>
          <w:lang w:eastAsia="en-AU"/>
        </w:rPr>
      </w:pPr>
      <w:r w:rsidRPr="00BF4481">
        <w:rPr>
          <w:rFonts w:eastAsia="Times New Roman" w:cs="Arial"/>
          <w:bCs/>
          <w:color w:val="000000"/>
          <w:szCs w:val="20"/>
          <w:lang w:eastAsia="en-AU"/>
        </w:rPr>
        <w:t xml:space="preserve"> </w:t>
      </w:r>
    </w:p>
    <w:p w14:paraId="3F8049C6" w14:textId="77777777" w:rsidR="00BF4481" w:rsidRPr="00BF4481" w:rsidRDefault="00BF4481" w:rsidP="00CE2356">
      <w:pPr>
        <w:pStyle w:val="CGQHL1"/>
        <w:rPr>
          <w:lang w:eastAsia="en-AU"/>
        </w:rPr>
      </w:pPr>
      <w:r w:rsidRPr="00BF4481">
        <w:rPr>
          <w:lang w:eastAsia="en-AU"/>
        </w:rPr>
        <w:t>Code of Conduct</w:t>
      </w:r>
    </w:p>
    <w:p w14:paraId="379B157C" w14:textId="77777777" w:rsidR="00BF4481" w:rsidRPr="00BF4481" w:rsidRDefault="00BF4481" w:rsidP="00BF4481">
      <w:pPr>
        <w:spacing w:after="0" w:line="280" w:lineRule="atLeast"/>
        <w:rPr>
          <w:rFonts w:eastAsia="Times New Roman" w:cs="Arial"/>
          <w:bCs/>
          <w:szCs w:val="20"/>
          <w:lang w:eastAsia="en-AU"/>
        </w:rPr>
      </w:pPr>
      <w:r w:rsidRPr="00BF4481">
        <w:rPr>
          <w:rFonts w:eastAsia="Times New Roman" w:cs="Arial"/>
          <w:bCs/>
          <w:szCs w:val="20"/>
          <w:lang w:eastAsia="en-AU"/>
        </w:rPr>
        <w:t xml:space="preserve">The Common Ground Queensland </w:t>
      </w:r>
      <w:r w:rsidRPr="00BF4481">
        <w:rPr>
          <w:rFonts w:eastAsia="Times New Roman" w:cs="Arial"/>
          <w:bCs/>
          <w:i/>
          <w:iCs/>
          <w:szCs w:val="20"/>
          <w:lang w:eastAsia="en-AU"/>
        </w:rPr>
        <w:t>Code of Conduct Policy</w:t>
      </w:r>
      <w:r w:rsidRPr="00BF4481">
        <w:rPr>
          <w:rFonts w:eastAsia="Times New Roman" w:cs="Arial"/>
          <w:bCs/>
          <w:szCs w:val="20"/>
          <w:lang w:eastAsia="en-AU"/>
        </w:rPr>
        <w:t xml:space="preserve"> outlines the organisation’s expectations and requirements in relation to service quality and professional conduct. It provides common understanding of the standard of behaviour and the appropriate boundaries expected of Common Ground Queensland staff, directors and contractors. The </w:t>
      </w:r>
      <w:r w:rsidRPr="00BF4481">
        <w:rPr>
          <w:rFonts w:eastAsia="Times New Roman" w:cs="Arial"/>
          <w:bCs/>
          <w:i/>
          <w:szCs w:val="20"/>
          <w:lang w:eastAsia="en-AU"/>
        </w:rPr>
        <w:t>Code of Conduct Policy</w:t>
      </w:r>
      <w:r w:rsidRPr="00BF4481">
        <w:rPr>
          <w:rFonts w:eastAsia="Times New Roman" w:cs="Arial"/>
          <w:bCs/>
          <w:szCs w:val="20"/>
          <w:lang w:eastAsia="en-AU"/>
        </w:rPr>
        <w:t xml:space="preserve"> is provided to and signed by all Common Ground Queensland staff, directors and contractors.</w:t>
      </w:r>
    </w:p>
    <w:p w14:paraId="539406BE" w14:textId="77777777" w:rsidR="00BF4481" w:rsidRPr="00BF4481" w:rsidRDefault="00BF4481" w:rsidP="00BF4481">
      <w:pPr>
        <w:spacing w:after="0" w:line="280" w:lineRule="atLeast"/>
        <w:ind w:left="284"/>
        <w:rPr>
          <w:rFonts w:eastAsia="Times New Roman" w:cs="Arial"/>
          <w:b/>
          <w:szCs w:val="20"/>
          <w:lang w:eastAsia="en-AU"/>
        </w:rPr>
      </w:pPr>
    </w:p>
    <w:p w14:paraId="70D398E9" w14:textId="77777777" w:rsidR="00BF4481" w:rsidRPr="00BF4481" w:rsidRDefault="00BF4481" w:rsidP="00CE2356">
      <w:pPr>
        <w:pStyle w:val="CGQHL1"/>
        <w:rPr>
          <w:lang w:eastAsia="en-AU"/>
        </w:rPr>
      </w:pPr>
      <w:r w:rsidRPr="00BF4481">
        <w:rPr>
          <w:lang w:eastAsia="en-AU"/>
        </w:rPr>
        <w:t>General Principles</w:t>
      </w:r>
    </w:p>
    <w:p w14:paraId="009E2673" w14:textId="7E53CFF2" w:rsidR="00BF4481" w:rsidRPr="00BF4481" w:rsidRDefault="00BF4481" w:rsidP="00BF4481">
      <w:pPr>
        <w:autoSpaceDE w:val="0"/>
        <w:autoSpaceDN w:val="0"/>
        <w:adjustRightInd w:val="0"/>
        <w:spacing w:after="0" w:line="280" w:lineRule="atLeast"/>
        <w:contextualSpacing/>
        <w:rPr>
          <w:rFonts w:eastAsia="Calibri" w:cs="Arial"/>
          <w:color w:val="000000"/>
          <w:szCs w:val="20"/>
        </w:rPr>
      </w:pPr>
      <w:r w:rsidRPr="00BF4481">
        <w:rPr>
          <w:rFonts w:eastAsia="Calibri" w:cs="Arial"/>
          <w:color w:val="000000"/>
          <w:szCs w:val="20"/>
        </w:rPr>
        <w:t>Common Ground Queensland and the on-site Support Provider work in partnership to minimise risk through:</w:t>
      </w:r>
    </w:p>
    <w:p w14:paraId="4E35AA5F" w14:textId="6CA4E7C2" w:rsidR="00BF4481" w:rsidRPr="00BF4481" w:rsidRDefault="00BF4481" w:rsidP="00BF4481">
      <w:pPr>
        <w:numPr>
          <w:ilvl w:val="0"/>
          <w:numId w:val="4"/>
        </w:numPr>
        <w:autoSpaceDE w:val="0"/>
        <w:autoSpaceDN w:val="0"/>
        <w:adjustRightInd w:val="0"/>
        <w:spacing w:after="0" w:line="280" w:lineRule="atLeast"/>
        <w:contextualSpacing/>
        <w:rPr>
          <w:rFonts w:eastAsia="Calibri" w:cs="Arial"/>
          <w:color w:val="000000"/>
          <w:szCs w:val="20"/>
        </w:rPr>
      </w:pPr>
      <w:r w:rsidRPr="00BF4481">
        <w:rPr>
          <w:rFonts w:eastAsia="Calibri" w:cs="Arial"/>
          <w:color w:val="000000"/>
          <w:szCs w:val="20"/>
        </w:rPr>
        <w:t>Tenant information, assessment and intake processes</w:t>
      </w:r>
    </w:p>
    <w:p w14:paraId="7BD5D8E0" w14:textId="0D5BEACD" w:rsidR="00BF4481" w:rsidRPr="00BF4481" w:rsidRDefault="00BF4481" w:rsidP="00BF4481">
      <w:pPr>
        <w:numPr>
          <w:ilvl w:val="0"/>
          <w:numId w:val="4"/>
        </w:numPr>
        <w:autoSpaceDE w:val="0"/>
        <w:autoSpaceDN w:val="0"/>
        <w:adjustRightInd w:val="0"/>
        <w:spacing w:after="0" w:line="280" w:lineRule="atLeast"/>
        <w:contextualSpacing/>
        <w:rPr>
          <w:rFonts w:eastAsia="Calibri" w:cs="Arial"/>
          <w:color w:val="000000"/>
          <w:szCs w:val="20"/>
        </w:rPr>
      </w:pPr>
      <w:r w:rsidRPr="00BF4481">
        <w:rPr>
          <w:rFonts w:eastAsia="Calibri" w:cs="Arial"/>
          <w:color w:val="000000"/>
          <w:szCs w:val="20"/>
        </w:rPr>
        <w:t>The appropriate placement of tenants</w:t>
      </w:r>
    </w:p>
    <w:p w14:paraId="55EDF0ED" w14:textId="1A4B6E8D" w:rsidR="00BF4481" w:rsidRPr="00BF4481" w:rsidRDefault="00BF4481" w:rsidP="00BF4481">
      <w:pPr>
        <w:numPr>
          <w:ilvl w:val="0"/>
          <w:numId w:val="4"/>
        </w:numPr>
        <w:autoSpaceDE w:val="0"/>
        <w:autoSpaceDN w:val="0"/>
        <w:adjustRightInd w:val="0"/>
        <w:spacing w:after="0" w:line="280" w:lineRule="atLeast"/>
        <w:contextualSpacing/>
        <w:rPr>
          <w:rFonts w:eastAsia="Calibri" w:cs="Arial"/>
          <w:color w:val="000000"/>
          <w:szCs w:val="20"/>
        </w:rPr>
      </w:pPr>
      <w:r w:rsidRPr="00BF4481">
        <w:rPr>
          <w:rFonts w:eastAsia="Calibri" w:cs="Arial"/>
          <w:color w:val="000000"/>
          <w:szCs w:val="20"/>
        </w:rPr>
        <w:t>Collaborating on risk assessment and management of any perceived potential and/or actual risks</w:t>
      </w:r>
    </w:p>
    <w:p w14:paraId="24408F23" w14:textId="5ADCD3EA" w:rsidR="00BF4481" w:rsidRPr="00BF4481" w:rsidRDefault="00BF4481" w:rsidP="00BF4481">
      <w:pPr>
        <w:numPr>
          <w:ilvl w:val="0"/>
          <w:numId w:val="4"/>
        </w:numPr>
        <w:autoSpaceDE w:val="0"/>
        <w:autoSpaceDN w:val="0"/>
        <w:adjustRightInd w:val="0"/>
        <w:spacing w:after="0" w:line="280" w:lineRule="atLeast"/>
        <w:contextualSpacing/>
        <w:rPr>
          <w:rFonts w:eastAsia="Calibri" w:cs="Arial"/>
          <w:color w:val="000000"/>
          <w:szCs w:val="20"/>
        </w:rPr>
      </w:pPr>
      <w:r w:rsidRPr="00BF4481">
        <w:rPr>
          <w:rFonts w:eastAsia="Calibri" w:cs="Arial"/>
          <w:color w:val="000000"/>
          <w:szCs w:val="20"/>
        </w:rPr>
        <w:t>Addressing any practical safety and security issues</w:t>
      </w:r>
    </w:p>
    <w:p w14:paraId="5BBFFFCA" w14:textId="64BA96CA" w:rsidR="00BF4481" w:rsidRPr="00BF4481" w:rsidRDefault="00BF4481" w:rsidP="00BF4481">
      <w:pPr>
        <w:numPr>
          <w:ilvl w:val="0"/>
          <w:numId w:val="4"/>
        </w:numPr>
        <w:autoSpaceDE w:val="0"/>
        <w:autoSpaceDN w:val="0"/>
        <w:adjustRightInd w:val="0"/>
        <w:spacing w:after="0" w:line="280" w:lineRule="atLeast"/>
        <w:contextualSpacing/>
        <w:rPr>
          <w:rFonts w:eastAsia="Calibri" w:cs="Arial"/>
          <w:color w:val="000000"/>
          <w:szCs w:val="20"/>
        </w:rPr>
      </w:pPr>
      <w:r w:rsidRPr="00BF4481">
        <w:rPr>
          <w:rFonts w:eastAsia="Calibri" w:cs="Arial"/>
          <w:color w:val="000000"/>
          <w:szCs w:val="20"/>
        </w:rPr>
        <w:t>Proactively engaging with tenants regarding the management of visitors</w:t>
      </w:r>
    </w:p>
    <w:p w14:paraId="6FC4CC8F" w14:textId="6537BAF7" w:rsidR="00BF4481" w:rsidRPr="00BF4481" w:rsidRDefault="00BF4481" w:rsidP="00BF4481">
      <w:pPr>
        <w:numPr>
          <w:ilvl w:val="0"/>
          <w:numId w:val="4"/>
        </w:numPr>
        <w:autoSpaceDE w:val="0"/>
        <w:autoSpaceDN w:val="0"/>
        <w:adjustRightInd w:val="0"/>
        <w:spacing w:after="0" w:line="280" w:lineRule="atLeast"/>
        <w:contextualSpacing/>
        <w:rPr>
          <w:rFonts w:eastAsia="Calibri" w:cs="Arial"/>
          <w:b/>
          <w:szCs w:val="20"/>
        </w:rPr>
      </w:pPr>
      <w:r w:rsidRPr="00BF4481">
        <w:rPr>
          <w:rFonts w:eastAsia="Calibri" w:cs="Arial"/>
          <w:color w:val="000000"/>
          <w:szCs w:val="20"/>
        </w:rPr>
        <w:t>Promoting and respecting the right to integrity, privacy, confidentiality and safety.</w:t>
      </w:r>
    </w:p>
    <w:p w14:paraId="6BE88488" w14:textId="77777777" w:rsidR="00BF4481" w:rsidRPr="00BF4481" w:rsidRDefault="00BF4481" w:rsidP="00BF4481">
      <w:pPr>
        <w:autoSpaceDE w:val="0"/>
        <w:autoSpaceDN w:val="0"/>
        <w:adjustRightInd w:val="0"/>
        <w:spacing w:after="0" w:line="280" w:lineRule="atLeast"/>
        <w:ind w:left="720"/>
        <w:contextualSpacing/>
        <w:rPr>
          <w:rFonts w:eastAsia="Calibri" w:cs="Arial"/>
          <w:b/>
          <w:szCs w:val="20"/>
        </w:rPr>
      </w:pPr>
    </w:p>
    <w:p w14:paraId="5231358A" w14:textId="77777777" w:rsidR="00BF4481" w:rsidRPr="00BF4481" w:rsidRDefault="00BF4481" w:rsidP="00CE2356">
      <w:pPr>
        <w:pStyle w:val="CGQHL1"/>
        <w:rPr>
          <w:lang w:eastAsia="en-AU"/>
        </w:rPr>
      </w:pPr>
      <w:r w:rsidRPr="00BF4481">
        <w:rPr>
          <w:lang w:eastAsia="en-AU"/>
        </w:rPr>
        <w:t>Selection and Screening</w:t>
      </w:r>
    </w:p>
    <w:p w14:paraId="44DFCAC5" w14:textId="77777777" w:rsidR="00BF4481" w:rsidRPr="00BF4481" w:rsidRDefault="00BF4481" w:rsidP="00BF4481">
      <w:pPr>
        <w:spacing w:after="0" w:line="280" w:lineRule="atLeast"/>
        <w:rPr>
          <w:rFonts w:eastAsia="Times New Roman" w:cs="Arial"/>
          <w:bCs/>
          <w:szCs w:val="20"/>
          <w:lang w:eastAsia="en-AU"/>
        </w:rPr>
      </w:pPr>
      <w:r w:rsidRPr="00BF4481">
        <w:rPr>
          <w:rFonts w:eastAsia="Times New Roman" w:cs="Arial"/>
          <w:bCs/>
          <w:szCs w:val="20"/>
          <w:lang w:eastAsia="en-AU"/>
        </w:rPr>
        <w:t>Prior to commencing employment or volunteer services, the following precautions will be taken:</w:t>
      </w:r>
    </w:p>
    <w:p w14:paraId="5872C706" w14:textId="207E153A"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 xml:space="preserve">All staff must complete an </w:t>
      </w:r>
      <w:r w:rsidRPr="00BF4481">
        <w:rPr>
          <w:rFonts w:eastAsia="Times New Roman" w:cs="Arial"/>
          <w:i/>
          <w:iCs/>
          <w:color w:val="211D1E"/>
          <w:szCs w:val="20"/>
          <w:lang w:eastAsia="en-AU"/>
        </w:rPr>
        <w:t>Employment Application Form</w:t>
      </w:r>
      <w:r w:rsidRPr="00BF4481">
        <w:rPr>
          <w:rFonts w:eastAsia="Times New Roman" w:cs="Arial"/>
          <w:color w:val="211D1E"/>
          <w:szCs w:val="20"/>
          <w:lang w:eastAsia="en-AU"/>
        </w:rPr>
        <w:t xml:space="preserve"> or </w:t>
      </w:r>
      <w:r w:rsidRPr="00BF4481">
        <w:rPr>
          <w:rFonts w:eastAsia="Times New Roman" w:cs="Arial"/>
          <w:i/>
          <w:iCs/>
          <w:color w:val="211D1E"/>
          <w:szCs w:val="20"/>
          <w:lang w:eastAsia="en-AU"/>
        </w:rPr>
        <w:t>Volunteer/Student Application Form</w:t>
      </w:r>
      <w:r w:rsidRPr="00BF4481">
        <w:rPr>
          <w:rFonts w:eastAsia="Times New Roman" w:cs="Arial"/>
          <w:color w:val="211D1E"/>
          <w:szCs w:val="20"/>
          <w:lang w:eastAsia="en-AU"/>
        </w:rPr>
        <w:t xml:space="preserve"> which requests details of relevant </w:t>
      </w:r>
      <w:proofErr w:type="gramStart"/>
      <w:r w:rsidRPr="00BF4481">
        <w:rPr>
          <w:rFonts w:eastAsia="Times New Roman" w:cs="Arial"/>
          <w:color w:val="211D1E"/>
          <w:szCs w:val="20"/>
          <w:lang w:eastAsia="en-AU"/>
        </w:rPr>
        <w:t>past experience</w:t>
      </w:r>
      <w:proofErr w:type="gramEnd"/>
      <w:r w:rsidRPr="00BF4481">
        <w:rPr>
          <w:rFonts w:eastAsia="Times New Roman" w:cs="Arial"/>
          <w:color w:val="211D1E"/>
          <w:szCs w:val="20"/>
          <w:lang w:eastAsia="en-AU"/>
        </w:rPr>
        <w:t>, positions held, details of two referees and permission to contact them</w:t>
      </w:r>
      <w:r w:rsidR="00EB0C5C">
        <w:rPr>
          <w:rFonts w:eastAsia="Times New Roman" w:cs="Arial"/>
          <w:color w:val="211D1E"/>
          <w:szCs w:val="20"/>
          <w:lang w:eastAsia="en-AU"/>
        </w:rPr>
        <w:t>.</w:t>
      </w:r>
    </w:p>
    <w:p w14:paraId="464A1AC1" w14:textId="6472042E"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lastRenderedPageBreak/>
        <w:t xml:space="preserve">All short-listed candidates must undertake a formal interview which includes an analysis of </w:t>
      </w:r>
      <w:proofErr w:type="gramStart"/>
      <w:r w:rsidRPr="00BF4481">
        <w:rPr>
          <w:rFonts w:eastAsia="Times New Roman" w:cs="Arial"/>
          <w:color w:val="211D1E"/>
          <w:szCs w:val="20"/>
          <w:lang w:eastAsia="en-AU"/>
        </w:rPr>
        <w:t>past experience</w:t>
      </w:r>
      <w:proofErr w:type="gramEnd"/>
      <w:r w:rsidRPr="00BF4481">
        <w:rPr>
          <w:rFonts w:eastAsia="Times New Roman" w:cs="Arial"/>
          <w:color w:val="211D1E"/>
          <w:szCs w:val="20"/>
          <w:lang w:eastAsia="en-AU"/>
        </w:rPr>
        <w:t xml:space="preserve"> working in a similar environment</w:t>
      </w:r>
      <w:r w:rsidR="00EB0C5C">
        <w:rPr>
          <w:rFonts w:eastAsia="Times New Roman" w:cs="Arial"/>
          <w:color w:val="211D1E"/>
          <w:szCs w:val="20"/>
          <w:lang w:eastAsia="en-AU"/>
        </w:rPr>
        <w:t>.</w:t>
      </w:r>
    </w:p>
    <w:p w14:paraId="23F13555" w14:textId="6302A4DB"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 xml:space="preserve"> Reference checks will be undertaken, documented and stored using an agreed set of questions which seek to establish the applicant’s suitability for the role or position</w:t>
      </w:r>
      <w:r w:rsidR="00EB0C5C">
        <w:rPr>
          <w:rFonts w:eastAsia="Times New Roman" w:cs="Arial"/>
          <w:color w:val="211D1E"/>
          <w:szCs w:val="20"/>
          <w:lang w:eastAsia="en-AU"/>
        </w:rPr>
        <w:t>.</w:t>
      </w:r>
    </w:p>
    <w:p w14:paraId="7797C1D6" w14:textId="5F33EBC3"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A Police check which complies with the legislative requirements of Queensland will be requested and received prior to the employee, volunteer or student commencing their proposed role. The check must show that the individual is not precluded from working in childcare or aged care.</w:t>
      </w:r>
    </w:p>
    <w:p w14:paraId="13F42548" w14:textId="77777777" w:rsidR="00BF4481" w:rsidRPr="00BF4481" w:rsidRDefault="00BF4481" w:rsidP="00BF4481">
      <w:pPr>
        <w:autoSpaceDE w:val="0"/>
        <w:autoSpaceDN w:val="0"/>
        <w:adjustRightInd w:val="0"/>
        <w:spacing w:after="0" w:line="280" w:lineRule="atLeast"/>
        <w:rPr>
          <w:rFonts w:eastAsia="Times New Roman" w:cs="Arial"/>
          <w:color w:val="211D1E"/>
          <w:szCs w:val="20"/>
          <w:lang w:eastAsia="en-AU"/>
        </w:rPr>
      </w:pPr>
    </w:p>
    <w:p w14:paraId="1846FC6C" w14:textId="77777777" w:rsidR="00BF4481" w:rsidRPr="00BF4481" w:rsidRDefault="00BF4481" w:rsidP="00BF4481">
      <w:pPr>
        <w:autoSpaceDE w:val="0"/>
        <w:autoSpaceDN w:val="0"/>
        <w:adjustRightInd w:val="0"/>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The screening process outlined above for staff will also apply to directors (refer </w:t>
      </w:r>
      <w:r w:rsidRPr="00BF4481">
        <w:rPr>
          <w:rFonts w:eastAsia="Times New Roman" w:cs="Arial"/>
          <w:i/>
          <w:color w:val="211D1E"/>
          <w:szCs w:val="20"/>
          <w:lang w:eastAsia="en-AU"/>
        </w:rPr>
        <w:t>Board Nomination Form</w:t>
      </w:r>
      <w:r w:rsidRPr="00BF4481">
        <w:rPr>
          <w:rFonts w:eastAsia="Times New Roman" w:cs="Arial"/>
          <w:color w:val="211D1E"/>
          <w:szCs w:val="20"/>
          <w:lang w:eastAsia="en-AU"/>
        </w:rPr>
        <w:t>).</w:t>
      </w:r>
    </w:p>
    <w:p w14:paraId="764E76B9" w14:textId="77777777" w:rsidR="00BF4481" w:rsidRPr="00BF4481" w:rsidRDefault="00BF4481" w:rsidP="00BF4481">
      <w:pPr>
        <w:autoSpaceDE w:val="0"/>
        <w:autoSpaceDN w:val="0"/>
        <w:adjustRightInd w:val="0"/>
        <w:spacing w:after="0" w:line="280" w:lineRule="atLeast"/>
        <w:rPr>
          <w:rFonts w:eastAsia="Times New Roman" w:cs="Arial"/>
          <w:color w:val="211D1E"/>
          <w:szCs w:val="20"/>
          <w:lang w:eastAsia="en-AU"/>
        </w:rPr>
      </w:pPr>
    </w:p>
    <w:p w14:paraId="3B2D9FF4" w14:textId="77777777" w:rsidR="00BF4481" w:rsidRPr="00BF4481" w:rsidRDefault="00BF4481" w:rsidP="00CE2356">
      <w:pPr>
        <w:pStyle w:val="CGQHL1"/>
        <w:rPr>
          <w:lang w:eastAsia="en-AU"/>
        </w:rPr>
      </w:pPr>
      <w:r w:rsidRPr="00BF4481">
        <w:rPr>
          <w:lang w:eastAsia="en-AU"/>
        </w:rPr>
        <w:t>Training</w:t>
      </w:r>
    </w:p>
    <w:p w14:paraId="605E1A26" w14:textId="77777777" w:rsidR="00BF4481" w:rsidRPr="00BF4481" w:rsidRDefault="00BF4481" w:rsidP="00BF4481">
      <w:pPr>
        <w:spacing w:after="0" w:line="280" w:lineRule="atLeast"/>
        <w:rPr>
          <w:rFonts w:eastAsia="Times New Roman" w:cs="Arial"/>
          <w:bCs/>
          <w:szCs w:val="20"/>
          <w:lang w:eastAsia="en-AU"/>
        </w:rPr>
      </w:pPr>
      <w:r w:rsidRPr="00BF4481">
        <w:rPr>
          <w:rFonts w:eastAsia="Times New Roman" w:cs="Arial"/>
          <w:bCs/>
          <w:szCs w:val="20"/>
          <w:lang w:eastAsia="en-AU"/>
        </w:rPr>
        <w:t>All new staff, volunteers and directors will be issued with a copy of this policy and receive formal training in:</w:t>
      </w:r>
    </w:p>
    <w:p w14:paraId="151DFAB9" w14:textId="260C920A"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 xml:space="preserve">The content and application of the Common Ground Queensland </w:t>
      </w:r>
      <w:r w:rsidRPr="00BF4481">
        <w:rPr>
          <w:rFonts w:eastAsia="Times New Roman" w:cs="Arial"/>
          <w:i/>
          <w:color w:val="211D1E"/>
          <w:szCs w:val="20"/>
          <w:lang w:eastAsia="en-AU"/>
        </w:rPr>
        <w:t>Safeguarding Policy</w:t>
      </w:r>
    </w:p>
    <w:p w14:paraId="3A2859A8" w14:textId="77777777"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Reporting procedures and the associated legal requirements.</w:t>
      </w:r>
    </w:p>
    <w:p w14:paraId="390462B1" w14:textId="77777777" w:rsidR="00BF4481" w:rsidRPr="00BF4481" w:rsidRDefault="00BF4481" w:rsidP="00BF4481">
      <w:pPr>
        <w:autoSpaceDE w:val="0"/>
        <w:autoSpaceDN w:val="0"/>
        <w:adjustRightInd w:val="0"/>
        <w:spacing w:after="0" w:line="280" w:lineRule="atLeast"/>
        <w:rPr>
          <w:rFonts w:eastAsia="Times New Roman" w:cs="Arial"/>
          <w:color w:val="211D1E"/>
          <w:szCs w:val="20"/>
          <w:lang w:eastAsia="en-AU"/>
        </w:rPr>
      </w:pPr>
    </w:p>
    <w:p w14:paraId="784ADFE9" w14:textId="77777777" w:rsidR="00BF4481" w:rsidRPr="00BF4481" w:rsidRDefault="00BF4481" w:rsidP="00BF4481">
      <w:pPr>
        <w:autoSpaceDE w:val="0"/>
        <w:autoSpaceDN w:val="0"/>
        <w:adjustRightInd w:val="0"/>
        <w:spacing w:after="0" w:line="280" w:lineRule="atLeast"/>
        <w:rPr>
          <w:rFonts w:eastAsia="Times New Roman" w:cs="Arial"/>
          <w:color w:val="211D1E"/>
          <w:szCs w:val="20"/>
          <w:lang w:eastAsia="en-AU"/>
        </w:rPr>
      </w:pPr>
      <w:r w:rsidRPr="00BF4481">
        <w:rPr>
          <w:rFonts w:eastAsia="Times New Roman" w:cs="Arial"/>
          <w:color w:val="211D1E"/>
          <w:szCs w:val="20"/>
          <w:lang w:eastAsia="en-AU"/>
        </w:rPr>
        <w:t>Refresher training courses based on current “best practice” and changes to legislation will be provided on an annual basis.</w:t>
      </w:r>
    </w:p>
    <w:p w14:paraId="6B7CF603" w14:textId="77777777" w:rsidR="00BF4481" w:rsidRPr="00BF4481" w:rsidRDefault="00BF4481" w:rsidP="00BF4481">
      <w:pPr>
        <w:spacing w:after="0" w:line="280" w:lineRule="atLeast"/>
        <w:rPr>
          <w:rFonts w:eastAsia="Times New Roman" w:cs="Arial"/>
          <w:bCs/>
          <w:szCs w:val="20"/>
          <w:lang w:eastAsia="en-AU"/>
        </w:rPr>
      </w:pPr>
    </w:p>
    <w:p w14:paraId="33F6C169" w14:textId="77777777" w:rsidR="00BF4481" w:rsidRPr="00BF4481" w:rsidRDefault="00BF4481" w:rsidP="00CE2356">
      <w:pPr>
        <w:pStyle w:val="CGQHL1"/>
        <w:rPr>
          <w:lang w:eastAsia="en-AU"/>
        </w:rPr>
      </w:pPr>
      <w:r w:rsidRPr="00BF4481">
        <w:rPr>
          <w:lang w:eastAsia="en-AU"/>
        </w:rPr>
        <w:t>A Safe Environment</w:t>
      </w:r>
    </w:p>
    <w:p w14:paraId="1C66976A" w14:textId="77777777" w:rsidR="00BF4481" w:rsidRPr="00BF4481" w:rsidRDefault="00BF4481" w:rsidP="00BF4481">
      <w:pPr>
        <w:autoSpaceDE w:val="0"/>
        <w:autoSpaceDN w:val="0"/>
        <w:adjustRightInd w:val="0"/>
        <w:spacing w:after="0" w:line="280" w:lineRule="atLeast"/>
        <w:jc w:val="both"/>
        <w:rPr>
          <w:rFonts w:eastAsia="Times New Roman" w:cs="Arial"/>
          <w:color w:val="211D1E"/>
          <w:szCs w:val="20"/>
          <w:lang w:eastAsia="en-AU"/>
        </w:rPr>
      </w:pPr>
      <w:r w:rsidRPr="00BF4481">
        <w:rPr>
          <w:rFonts w:eastAsia="Times New Roman" w:cs="Arial"/>
          <w:color w:val="211D1E"/>
          <w:szCs w:val="20"/>
          <w:lang w:eastAsia="en-AU"/>
        </w:rPr>
        <w:t xml:space="preserve">Incidents of abuse are unlikely to take place in front of another </w:t>
      </w:r>
      <w:proofErr w:type="gramStart"/>
      <w:r w:rsidRPr="00BF4481">
        <w:rPr>
          <w:rFonts w:eastAsia="Times New Roman" w:cs="Arial"/>
          <w:color w:val="211D1E"/>
          <w:szCs w:val="20"/>
          <w:lang w:eastAsia="en-AU"/>
        </w:rPr>
        <w:t>person</w:t>
      </w:r>
      <w:proofErr w:type="gramEnd"/>
      <w:r w:rsidRPr="00BF4481">
        <w:rPr>
          <w:rFonts w:eastAsia="Times New Roman" w:cs="Arial"/>
          <w:color w:val="211D1E"/>
          <w:szCs w:val="20"/>
          <w:lang w:eastAsia="en-AU"/>
        </w:rPr>
        <w:t xml:space="preserve"> and the presence of a witness can assist in clarifying questionable allegations. For these reasons, working in pairs is the preferred method where possible. </w:t>
      </w:r>
    </w:p>
    <w:p w14:paraId="26CB6ED0" w14:textId="77777777" w:rsidR="00BF4481" w:rsidRPr="00BF4481" w:rsidRDefault="00BF4481" w:rsidP="00BF4481">
      <w:pPr>
        <w:spacing w:after="0" w:line="280" w:lineRule="atLeast"/>
        <w:rPr>
          <w:rFonts w:eastAsia="Times New Roman" w:cs="Arial"/>
          <w:color w:val="211D1E"/>
          <w:szCs w:val="20"/>
          <w:lang w:eastAsia="en-AU"/>
        </w:rPr>
      </w:pPr>
    </w:p>
    <w:p w14:paraId="6566E8F8" w14:textId="4FB8C25B" w:rsidR="00BF4481" w:rsidRPr="00BF4481" w:rsidRDefault="00BF4481" w:rsidP="00BF4481">
      <w:pPr>
        <w:spacing w:after="0" w:line="280" w:lineRule="atLeast"/>
        <w:rPr>
          <w:rFonts w:eastAsia="Times New Roman" w:cs="Arial"/>
          <w:color w:val="211D1E"/>
          <w:szCs w:val="20"/>
          <w:lang w:eastAsia="en-AU"/>
        </w:rPr>
      </w:pPr>
      <w:r w:rsidRPr="00BF4481">
        <w:rPr>
          <w:rFonts w:eastAsia="Times New Roman" w:cs="Arial"/>
          <w:color w:val="211D1E"/>
          <w:szCs w:val="20"/>
          <w:lang w:eastAsia="en-AU"/>
        </w:rPr>
        <w:t>Where possible, interactions should occur in a room which can be observed easily by others. In circumstances where one-on-one support or assistance is provided (i.e.</w:t>
      </w:r>
      <w:r w:rsidR="006E2D98">
        <w:rPr>
          <w:rFonts w:eastAsia="Times New Roman" w:cs="Arial"/>
          <w:color w:val="211D1E"/>
          <w:szCs w:val="20"/>
          <w:lang w:eastAsia="en-AU"/>
        </w:rPr>
        <w:t>,</w:t>
      </w:r>
      <w:r w:rsidRPr="00BF4481">
        <w:rPr>
          <w:rFonts w:eastAsia="Times New Roman" w:cs="Arial"/>
          <w:color w:val="211D1E"/>
          <w:szCs w:val="20"/>
          <w:lang w:eastAsia="en-AU"/>
        </w:rPr>
        <w:t xml:space="preserve"> maintenance repair or Concierge response), there must be measures in place to identify if abuse is occurring such as regular rotation of staff, client complaints framework and independent support workers.</w:t>
      </w:r>
    </w:p>
    <w:p w14:paraId="38044FE8" w14:textId="77777777" w:rsidR="00BF4481" w:rsidRPr="00BF4481" w:rsidRDefault="00BF4481" w:rsidP="00BF4481">
      <w:pPr>
        <w:spacing w:after="0" w:line="280" w:lineRule="atLeast"/>
        <w:rPr>
          <w:rFonts w:eastAsia="Times New Roman" w:cs="Arial"/>
          <w:color w:val="211D1E"/>
          <w:szCs w:val="20"/>
          <w:highlight w:val="yellow"/>
          <w:lang w:eastAsia="en-AU"/>
        </w:rPr>
      </w:pPr>
    </w:p>
    <w:p w14:paraId="187A3AA5" w14:textId="77777777" w:rsidR="00BF4481" w:rsidRPr="00BF4481" w:rsidRDefault="00BF4481" w:rsidP="00CE2356">
      <w:pPr>
        <w:pStyle w:val="CGQHL1"/>
        <w:rPr>
          <w:lang w:eastAsia="en-AU"/>
        </w:rPr>
      </w:pPr>
      <w:r w:rsidRPr="00BF4481">
        <w:rPr>
          <w:lang w:eastAsia="en-AU"/>
        </w:rPr>
        <w:t>Reporting Procedure</w:t>
      </w:r>
    </w:p>
    <w:p w14:paraId="24288ABC" w14:textId="77777777" w:rsidR="00BF4481" w:rsidRPr="00BF4481" w:rsidRDefault="00BF4481" w:rsidP="00BF4481">
      <w:pPr>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Common Ground Queensland actively encourages the reporting of all reasonable suspicion of abuse, neglect or exploitation. Reasonable suspicion means fair and practical reason to believe an incident has occurred based on disclosure, hearsay, rumour or observation of behaviour. Common Ground Queensland is committed to building an environment where either a victim or staff member, director, partner or associate feels able to report such abuse. </w:t>
      </w:r>
    </w:p>
    <w:p w14:paraId="425F0A04" w14:textId="77777777" w:rsidR="00BF4481" w:rsidRPr="00BF4481" w:rsidRDefault="00BF4481" w:rsidP="00BF4481">
      <w:pPr>
        <w:spacing w:after="0" w:line="280" w:lineRule="atLeast"/>
        <w:rPr>
          <w:rFonts w:eastAsia="Times New Roman" w:cs="Arial"/>
          <w:color w:val="211D1E"/>
          <w:szCs w:val="20"/>
          <w:lang w:eastAsia="en-AU"/>
        </w:rPr>
      </w:pPr>
    </w:p>
    <w:p w14:paraId="53100C60" w14:textId="77777777" w:rsidR="00BF4481" w:rsidRPr="00BF4481" w:rsidRDefault="00BF4481" w:rsidP="00BF4481">
      <w:pPr>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If a report or disclosure of abuse, neglect or exploitation is made, the person who receives the report/disclosure will maintain appropriate care to the one making the report/disclosure. This will include: </w:t>
      </w:r>
    </w:p>
    <w:p w14:paraId="29B79F4F" w14:textId="4B4B4A38"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Treating each allegation seriously and not attempting to deny the allegation or minimise its impact on the alleged victim</w:t>
      </w:r>
    </w:p>
    <w:p w14:paraId="04676AC7" w14:textId="226B3637"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lastRenderedPageBreak/>
        <w:t>Not pushing the alleged victim to disclose details of the alleged assault or attempt to investigate the allegation</w:t>
      </w:r>
    </w:p>
    <w:p w14:paraId="0E77F5F0" w14:textId="060B96BA"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 xml:space="preserve">Assuring the person that they are </w:t>
      </w:r>
      <w:proofErr w:type="gramStart"/>
      <w:r w:rsidRPr="00BF4481">
        <w:rPr>
          <w:rFonts w:eastAsia="Times New Roman" w:cs="Arial"/>
          <w:color w:val="211D1E"/>
          <w:szCs w:val="20"/>
          <w:lang w:eastAsia="en-AU"/>
        </w:rPr>
        <w:t>understood:</w:t>
      </w:r>
      <w:proofErr w:type="gramEnd"/>
      <w:r w:rsidRPr="00BF4481">
        <w:rPr>
          <w:rFonts w:eastAsia="Times New Roman" w:cs="Arial"/>
          <w:color w:val="211D1E"/>
          <w:szCs w:val="20"/>
          <w:lang w:eastAsia="en-AU"/>
        </w:rPr>
        <w:t xml:space="preserve"> that their report/disclosure is being taken seriously, that what has happened is not their fault and that they are correct in disclosing the incident</w:t>
      </w:r>
    </w:p>
    <w:p w14:paraId="2B22C105" w14:textId="05A220A3"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 xml:space="preserve">Not </w:t>
      </w:r>
      <w:proofErr w:type="gramStart"/>
      <w:r w:rsidRPr="00BF4481">
        <w:rPr>
          <w:rFonts w:eastAsia="Times New Roman" w:cs="Arial"/>
          <w:color w:val="211D1E"/>
          <w:szCs w:val="20"/>
          <w:lang w:eastAsia="en-AU"/>
        </w:rPr>
        <w:t>making contact with</w:t>
      </w:r>
      <w:proofErr w:type="gramEnd"/>
      <w:r w:rsidRPr="00BF4481">
        <w:rPr>
          <w:rFonts w:eastAsia="Times New Roman" w:cs="Arial"/>
          <w:color w:val="211D1E"/>
          <w:szCs w:val="20"/>
          <w:lang w:eastAsia="en-AU"/>
        </w:rPr>
        <w:t xml:space="preserve"> the alleged perpetrator. If the staff member is already </w:t>
      </w:r>
      <w:proofErr w:type="gramStart"/>
      <w:r w:rsidRPr="00BF4481">
        <w:rPr>
          <w:rFonts w:eastAsia="Times New Roman" w:cs="Arial"/>
          <w:color w:val="211D1E"/>
          <w:szCs w:val="20"/>
          <w:lang w:eastAsia="en-AU"/>
        </w:rPr>
        <w:t>providing assistance to</w:t>
      </w:r>
      <w:proofErr w:type="gramEnd"/>
      <w:r w:rsidRPr="00BF4481">
        <w:rPr>
          <w:rFonts w:eastAsia="Times New Roman" w:cs="Arial"/>
          <w:color w:val="211D1E"/>
          <w:szCs w:val="20"/>
          <w:lang w:eastAsia="en-AU"/>
        </w:rPr>
        <w:t xml:space="preserve"> the alleged perpetrator, it may be advisable for another person to assume this responsibility for the duration of any investigation</w:t>
      </w:r>
    </w:p>
    <w:p w14:paraId="6F53A592" w14:textId="37CAB022"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If the alleged assault has taken place recently, clothing worn by the person should be, if reasonably practical, retained and handed to the police for forensic examination</w:t>
      </w:r>
      <w:r w:rsidR="004E7CD4">
        <w:rPr>
          <w:rFonts w:eastAsia="Times New Roman" w:cs="Arial"/>
          <w:color w:val="211D1E"/>
          <w:szCs w:val="20"/>
          <w:lang w:eastAsia="en-AU"/>
        </w:rPr>
        <w:t>,</w:t>
      </w:r>
    </w:p>
    <w:p w14:paraId="7703BA30" w14:textId="75D3D48D"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Maintain</w:t>
      </w:r>
      <w:r w:rsidR="00B367A1">
        <w:rPr>
          <w:rFonts w:eastAsia="Times New Roman" w:cs="Arial"/>
          <w:color w:val="211D1E"/>
          <w:szCs w:val="20"/>
          <w:lang w:eastAsia="en-AU"/>
        </w:rPr>
        <w:t>ing</w:t>
      </w:r>
      <w:r w:rsidRPr="00BF4481">
        <w:rPr>
          <w:rFonts w:eastAsia="Times New Roman" w:cs="Arial"/>
          <w:color w:val="211D1E"/>
          <w:szCs w:val="20"/>
          <w:lang w:eastAsia="en-AU"/>
        </w:rPr>
        <w:t xml:space="preserve"> confidentiality</w:t>
      </w:r>
      <w:r w:rsidR="004E7CD4">
        <w:rPr>
          <w:rFonts w:eastAsia="Times New Roman" w:cs="Arial"/>
          <w:color w:val="211D1E"/>
          <w:szCs w:val="20"/>
          <w:lang w:eastAsia="en-AU"/>
        </w:rPr>
        <w:t>,</w:t>
      </w:r>
      <w:r w:rsidRPr="00BF4481">
        <w:rPr>
          <w:rFonts w:eastAsia="Times New Roman" w:cs="Arial"/>
          <w:color w:val="211D1E"/>
          <w:szCs w:val="20"/>
          <w:lang w:eastAsia="en-AU"/>
        </w:rPr>
        <w:t xml:space="preserve"> and </w:t>
      </w:r>
    </w:p>
    <w:p w14:paraId="650AAFDB" w14:textId="77777777" w:rsidR="00BF4481" w:rsidRPr="00BF4481" w:rsidRDefault="00BF4481" w:rsidP="00BF4481">
      <w:pPr>
        <w:numPr>
          <w:ilvl w:val="0"/>
          <w:numId w:val="5"/>
        </w:numPr>
        <w:autoSpaceDE w:val="0"/>
        <w:autoSpaceDN w:val="0"/>
        <w:adjustRightInd w:val="0"/>
        <w:spacing w:after="0" w:line="280" w:lineRule="atLeast"/>
        <w:ind w:left="714" w:hanging="357"/>
        <w:rPr>
          <w:rFonts w:eastAsia="Times New Roman" w:cs="Arial"/>
          <w:color w:val="211D1E"/>
          <w:szCs w:val="20"/>
          <w:lang w:eastAsia="en-AU"/>
        </w:rPr>
      </w:pPr>
      <w:r w:rsidRPr="00BF4481">
        <w:rPr>
          <w:rFonts w:eastAsia="Times New Roman" w:cs="Arial"/>
          <w:color w:val="211D1E"/>
          <w:szCs w:val="20"/>
          <w:lang w:eastAsia="en-AU"/>
        </w:rPr>
        <w:t>Reporting the allegation to the CEO immediately.</w:t>
      </w:r>
    </w:p>
    <w:p w14:paraId="66095E77" w14:textId="77777777" w:rsidR="00BF4481" w:rsidRPr="00BF4481" w:rsidRDefault="00BF4481" w:rsidP="00BF4481">
      <w:pPr>
        <w:autoSpaceDE w:val="0"/>
        <w:autoSpaceDN w:val="0"/>
        <w:adjustRightInd w:val="0"/>
        <w:spacing w:after="0" w:line="280" w:lineRule="atLeast"/>
        <w:ind w:left="714"/>
        <w:rPr>
          <w:rFonts w:eastAsia="Times New Roman" w:cs="Arial"/>
          <w:color w:val="211D1E"/>
          <w:szCs w:val="20"/>
          <w:lang w:eastAsia="en-AU"/>
        </w:rPr>
      </w:pPr>
    </w:p>
    <w:p w14:paraId="1079E961" w14:textId="21389391" w:rsidR="00BF4481" w:rsidRPr="00BF4481" w:rsidRDefault="00BF4481" w:rsidP="00BF4481">
      <w:pPr>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If there is reasonable suspicion that a person </w:t>
      </w:r>
      <w:r w:rsidRPr="00BF4481">
        <w:rPr>
          <w:rFonts w:eastAsia="Times New Roman" w:cs="Arial"/>
          <w:color w:val="000000"/>
          <w:szCs w:val="20"/>
          <w:lang w:eastAsia="en-AU"/>
        </w:rPr>
        <w:t>living in or visiting Common Ground Queensland supportive housing properties</w:t>
      </w:r>
      <w:r w:rsidRPr="00BF4481">
        <w:rPr>
          <w:rFonts w:eastAsia="Times New Roman" w:cs="Arial"/>
          <w:color w:val="211D1E"/>
          <w:szCs w:val="20"/>
          <w:lang w:eastAsia="en-AU"/>
        </w:rPr>
        <w:t xml:space="preserve"> has been or is suffering abuse, neglect or exploitation, the Police, the Common Ground Queensland Board, Common Ground Queensland’s Insurer, the Department of Housing and </w:t>
      </w:r>
      <w:r w:rsidR="00941DAB">
        <w:rPr>
          <w:rFonts w:eastAsia="Times New Roman" w:cs="Arial"/>
          <w:color w:val="211D1E"/>
          <w:szCs w:val="20"/>
          <w:lang w:eastAsia="en-AU"/>
        </w:rPr>
        <w:t xml:space="preserve">Public Works </w:t>
      </w:r>
      <w:r w:rsidRPr="00BF4481">
        <w:rPr>
          <w:rFonts w:eastAsia="Times New Roman" w:cs="Arial"/>
          <w:color w:val="211D1E"/>
          <w:szCs w:val="20"/>
          <w:lang w:eastAsia="en-AU"/>
        </w:rPr>
        <w:t>and any relevant contractual authorities will be contacted immediately by the CEO. The same notification protocols will be applied for all disclosed incidents of abuse, neglect or exploitation that have occurred somewhere other than Common Ground Queensland’s premises (e.g.</w:t>
      </w:r>
      <w:r w:rsidR="000D2296">
        <w:rPr>
          <w:rFonts w:eastAsia="Times New Roman" w:cs="Arial"/>
          <w:color w:val="211D1E"/>
          <w:szCs w:val="20"/>
          <w:lang w:eastAsia="en-AU"/>
        </w:rPr>
        <w:t>,</w:t>
      </w:r>
      <w:r w:rsidRPr="00BF4481">
        <w:rPr>
          <w:rFonts w:eastAsia="Times New Roman" w:cs="Arial"/>
          <w:color w:val="211D1E"/>
          <w:szCs w:val="20"/>
          <w:lang w:eastAsia="en-AU"/>
        </w:rPr>
        <w:t xml:space="preserve"> an outing).</w:t>
      </w:r>
    </w:p>
    <w:p w14:paraId="2FFAE22A" w14:textId="77777777" w:rsidR="00BF4481" w:rsidRPr="00BF4481" w:rsidRDefault="00BF4481" w:rsidP="00BF4481">
      <w:pPr>
        <w:spacing w:after="0" w:line="280" w:lineRule="atLeast"/>
        <w:rPr>
          <w:rFonts w:eastAsia="Times New Roman" w:cs="Arial"/>
          <w:color w:val="211D1E"/>
          <w:szCs w:val="20"/>
          <w:lang w:eastAsia="en-AU"/>
        </w:rPr>
      </w:pPr>
    </w:p>
    <w:p w14:paraId="46C33A60" w14:textId="77777777" w:rsidR="00BF4481" w:rsidRPr="00BF4481" w:rsidRDefault="00BF4481" w:rsidP="00BF4481">
      <w:pPr>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An independent person will be appointed by Common Ground Queensland with the specific duty of dealing with any allegations of harm that may arise. The details of those reporting abuse will be kept private and confidential. </w:t>
      </w:r>
    </w:p>
    <w:p w14:paraId="4AA35BE7" w14:textId="77777777" w:rsidR="00BF4481" w:rsidRPr="00BF4481" w:rsidRDefault="00BF4481" w:rsidP="00BF4481">
      <w:pPr>
        <w:spacing w:after="0" w:line="280" w:lineRule="atLeast"/>
        <w:rPr>
          <w:rFonts w:eastAsia="Times New Roman" w:cs="Arial"/>
          <w:color w:val="211D1E"/>
          <w:szCs w:val="20"/>
          <w:lang w:eastAsia="en-AU"/>
        </w:rPr>
      </w:pPr>
    </w:p>
    <w:p w14:paraId="78097D63" w14:textId="77777777" w:rsidR="00BF4481" w:rsidRPr="00BF4481" w:rsidRDefault="00BF4481" w:rsidP="00BF4481">
      <w:pPr>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A documented reporting process with escalating procedures has been established by Common Ground Queensland for handling allegations of abuse, neglect or exploitation. The escalating procedures will be as follows: </w:t>
      </w:r>
    </w:p>
    <w:p w14:paraId="1F1C4251" w14:textId="18AF0A40" w:rsidR="00BF4481" w:rsidRPr="00BF4481" w:rsidRDefault="00BF4481" w:rsidP="00CD4953">
      <w:pPr>
        <w:numPr>
          <w:ilvl w:val="0"/>
          <w:numId w:val="11"/>
        </w:numPr>
        <w:autoSpaceDE w:val="0"/>
        <w:autoSpaceDN w:val="0"/>
        <w:adjustRightInd w:val="0"/>
        <w:spacing w:after="0" w:line="280" w:lineRule="atLeast"/>
        <w:rPr>
          <w:rFonts w:eastAsia="Times New Roman" w:cs="Arial"/>
          <w:color w:val="211D1E"/>
          <w:szCs w:val="20"/>
          <w:lang w:eastAsia="en-AU"/>
        </w:rPr>
      </w:pPr>
      <w:r w:rsidRPr="00BF4481">
        <w:rPr>
          <w:rFonts w:eastAsia="Times New Roman" w:cs="Arial"/>
          <w:color w:val="211D1E"/>
          <w:szCs w:val="20"/>
          <w:lang w:eastAsia="en-AU"/>
        </w:rPr>
        <w:t>The automatic suspension from all work or other duties within Common Ground Queensland of any person while under investigation by Common Ground Queensland or by the police, for committing abuse, neglect or exploitation</w:t>
      </w:r>
      <w:r w:rsidR="00D878BC">
        <w:rPr>
          <w:rFonts w:eastAsia="Times New Roman" w:cs="Arial"/>
          <w:color w:val="211D1E"/>
          <w:szCs w:val="20"/>
          <w:lang w:eastAsia="en-AU"/>
        </w:rPr>
        <w:t>.</w:t>
      </w:r>
    </w:p>
    <w:p w14:paraId="1A28E0F0" w14:textId="77777777" w:rsidR="00BF4481" w:rsidRPr="00BF4481" w:rsidRDefault="00BF4481" w:rsidP="00CD4953">
      <w:pPr>
        <w:numPr>
          <w:ilvl w:val="0"/>
          <w:numId w:val="11"/>
        </w:numPr>
        <w:autoSpaceDE w:val="0"/>
        <w:autoSpaceDN w:val="0"/>
        <w:adjustRightInd w:val="0"/>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The automatic termination of their employment, or involvement with Common Ground Queensland if found guilty of committing abuse, either by internal investigation or by a court. </w:t>
      </w:r>
    </w:p>
    <w:p w14:paraId="2D4A23EA" w14:textId="77777777" w:rsidR="00BF4481" w:rsidRPr="00BF4481" w:rsidRDefault="00BF4481" w:rsidP="00BF4481">
      <w:pPr>
        <w:spacing w:after="0" w:line="280" w:lineRule="atLeast"/>
        <w:rPr>
          <w:rFonts w:eastAsia="Times New Roman" w:cs="Arial"/>
          <w:color w:val="211D1E"/>
          <w:szCs w:val="20"/>
          <w:lang w:eastAsia="en-AU"/>
        </w:rPr>
      </w:pPr>
    </w:p>
    <w:p w14:paraId="1050A1DA" w14:textId="77777777" w:rsidR="00BF4481" w:rsidRPr="00BF4481" w:rsidRDefault="00BF4481" w:rsidP="00BF4481">
      <w:pPr>
        <w:spacing w:after="0" w:line="280" w:lineRule="atLeast"/>
        <w:rPr>
          <w:rFonts w:eastAsia="Times New Roman" w:cs="Arial"/>
          <w:color w:val="211D1E"/>
          <w:szCs w:val="20"/>
          <w:lang w:eastAsia="en-AU"/>
        </w:rPr>
      </w:pPr>
      <w:r w:rsidRPr="00BF4481">
        <w:rPr>
          <w:rFonts w:eastAsia="Times New Roman" w:cs="Arial"/>
          <w:color w:val="211D1E"/>
          <w:szCs w:val="20"/>
          <w:lang w:eastAsia="en-AU"/>
        </w:rPr>
        <w:t xml:space="preserve">Any disclosures or reports of suspected abuse, neglect or exploitation and all details of the subsequent investigation will be documented </w:t>
      </w:r>
      <w:proofErr w:type="gramStart"/>
      <w:r w:rsidRPr="00BF4481">
        <w:rPr>
          <w:rFonts w:eastAsia="Times New Roman" w:cs="Arial"/>
          <w:color w:val="211D1E"/>
          <w:szCs w:val="20"/>
          <w:lang w:eastAsia="en-AU"/>
        </w:rPr>
        <w:t>promptly</w:t>
      </w:r>
      <w:proofErr w:type="gramEnd"/>
      <w:r w:rsidRPr="00BF4481">
        <w:rPr>
          <w:rFonts w:eastAsia="Times New Roman" w:cs="Arial"/>
          <w:color w:val="211D1E"/>
          <w:szCs w:val="20"/>
          <w:lang w:eastAsia="en-AU"/>
        </w:rPr>
        <w:t xml:space="preserve"> and the documents will be held in a secure location where a breach of privacy cannot occur.</w:t>
      </w:r>
    </w:p>
    <w:p w14:paraId="005DD382" w14:textId="77777777" w:rsidR="00BF4481" w:rsidRPr="00BF4481" w:rsidRDefault="00BF4481" w:rsidP="00BF4481">
      <w:pPr>
        <w:spacing w:after="0" w:line="280" w:lineRule="atLeast"/>
        <w:rPr>
          <w:rFonts w:eastAsia="Times New Roman" w:cs="Arial"/>
          <w:color w:val="211D1E"/>
          <w:szCs w:val="20"/>
          <w:lang w:eastAsia="en-AU"/>
        </w:rPr>
      </w:pPr>
    </w:p>
    <w:p w14:paraId="2A87D541" w14:textId="77777777" w:rsidR="00BF4481" w:rsidRPr="00BF4481" w:rsidRDefault="00BF4481" w:rsidP="00CE2356">
      <w:pPr>
        <w:pStyle w:val="CGQHL1"/>
        <w:rPr>
          <w:lang w:eastAsia="en-AU"/>
        </w:rPr>
      </w:pPr>
      <w:r w:rsidRPr="00BF4481">
        <w:rPr>
          <w:lang w:eastAsia="en-AU"/>
        </w:rPr>
        <w:t>Document Retention</w:t>
      </w:r>
    </w:p>
    <w:p w14:paraId="380CECD7" w14:textId="77777777" w:rsidR="00BF4481" w:rsidRPr="00BF4481" w:rsidRDefault="00BF4481" w:rsidP="00BF4481">
      <w:pPr>
        <w:spacing w:after="0" w:line="280" w:lineRule="atLeast"/>
        <w:rPr>
          <w:rFonts w:eastAsia="Times New Roman" w:cs="Arial"/>
          <w:szCs w:val="20"/>
          <w:lang w:eastAsia="en-AU"/>
        </w:rPr>
      </w:pPr>
      <w:r w:rsidRPr="00BF4481">
        <w:rPr>
          <w:rFonts w:eastAsia="Times New Roman" w:cs="Arial"/>
          <w:szCs w:val="20"/>
          <w:lang w:eastAsia="en-AU"/>
        </w:rPr>
        <w:t xml:space="preserve">All relevant documentation (including employment records, incident and investigation reports, incident-related correspondence and copies of public liability insurance policies) will be securely retained for a minimum of 50 years to ensure documents are available in the event of an allegation of abuse, neglect or exploitation arising. </w:t>
      </w:r>
    </w:p>
    <w:p w14:paraId="62E6CE3E" w14:textId="77777777" w:rsidR="00BF4481" w:rsidRPr="00BF4481" w:rsidRDefault="00BF4481" w:rsidP="00BF4481">
      <w:pPr>
        <w:spacing w:after="0" w:line="280" w:lineRule="atLeast"/>
        <w:rPr>
          <w:rFonts w:eastAsia="Times New Roman" w:cs="Arial"/>
          <w:b/>
          <w:szCs w:val="20"/>
          <w:lang w:eastAsia="en-AU"/>
        </w:rPr>
      </w:pPr>
    </w:p>
    <w:p w14:paraId="2821DEFB" w14:textId="77777777" w:rsidR="001A6199" w:rsidRDefault="001A6199" w:rsidP="00CE2356">
      <w:pPr>
        <w:pStyle w:val="CGQH2"/>
        <w:rPr>
          <w:lang w:eastAsia="en-AU"/>
        </w:rPr>
      </w:pPr>
    </w:p>
    <w:p w14:paraId="4B830E11" w14:textId="47DA98B9" w:rsidR="00BF4481" w:rsidRPr="00BF4481" w:rsidRDefault="00941DAB" w:rsidP="00CE2356">
      <w:pPr>
        <w:pStyle w:val="CGQH2"/>
        <w:rPr>
          <w:lang w:eastAsia="en-AU"/>
        </w:rPr>
      </w:pPr>
      <w:r>
        <w:rPr>
          <w:lang w:eastAsia="en-AU"/>
        </w:rPr>
        <w:lastRenderedPageBreak/>
        <w:t>Related Documents</w:t>
      </w:r>
    </w:p>
    <w:p w14:paraId="7DBF9171" w14:textId="77777777" w:rsidR="00BF4481" w:rsidRPr="00BF4481" w:rsidRDefault="00BF4481" w:rsidP="00BF4481">
      <w:pPr>
        <w:spacing w:after="120" w:line="280" w:lineRule="atLeast"/>
        <w:rPr>
          <w:rFonts w:eastAsia="Times New Roman" w:cs="Arial"/>
          <w:szCs w:val="20"/>
          <w:lang w:eastAsia="en-AU"/>
        </w:rPr>
      </w:pPr>
      <w:r w:rsidRPr="00BF4481">
        <w:rPr>
          <w:rFonts w:eastAsia="Times New Roman" w:cs="Arial"/>
          <w:szCs w:val="20"/>
          <w:lang w:eastAsia="en-AU"/>
        </w:rPr>
        <w:t>This policy will be actively implemented by adherence to the following procedures and documents:</w:t>
      </w:r>
    </w:p>
    <w:p w14:paraId="393B9223" w14:textId="77777777" w:rsidR="00BF4481" w:rsidRPr="00BF4481" w:rsidRDefault="00BF4481" w:rsidP="00BF4481">
      <w:pPr>
        <w:numPr>
          <w:ilvl w:val="0"/>
          <w:numId w:val="3"/>
        </w:numPr>
        <w:spacing w:after="0" w:line="280" w:lineRule="atLeast"/>
        <w:rPr>
          <w:rFonts w:eastAsia="Times New Roman" w:cs="Arial"/>
          <w:szCs w:val="20"/>
          <w:lang w:eastAsia="en-AU"/>
        </w:rPr>
      </w:pPr>
      <w:bookmarkStart w:id="0" w:name="_Hlk130280860"/>
      <w:r w:rsidRPr="00BF4481">
        <w:rPr>
          <w:rFonts w:eastAsia="Times New Roman" w:cs="Arial"/>
          <w:szCs w:val="20"/>
          <w:lang w:eastAsia="en-AU"/>
        </w:rPr>
        <w:t>Code of Conduct Policy (Governance System)</w:t>
      </w:r>
    </w:p>
    <w:p w14:paraId="3D622CBF"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Concierge Manual</w:t>
      </w:r>
    </w:p>
    <w:p w14:paraId="7A5B61AB"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Employee Induction Procedure</w:t>
      </w:r>
    </w:p>
    <w:p w14:paraId="17AB7407"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 xml:space="preserve">Recruitment and Employment Policy/Procedure </w:t>
      </w:r>
    </w:p>
    <w:p w14:paraId="31B42FA2" w14:textId="549A0B96"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Ending a Tenancy Procedure</w:t>
      </w:r>
    </w:p>
    <w:p w14:paraId="68942D52"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General Compliments, Complaints and Appeals Procedure</w:t>
      </w:r>
    </w:p>
    <w:p w14:paraId="179B89F8"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Incident Management and Reporting Procedure</w:t>
      </w:r>
    </w:p>
    <w:p w14:paraId="4508A724"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Privacy and Confidentiality Procedure</w:t>
      </w:r>
    </w:p>
    <w:p w14:paraId="7800E4D2"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Professional Supervision, Support and Development Training Policy/Procedure</w:t>
      </w:r>
    </w:p>
    <w:p w14:paraId="555736D6"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Starting a Tenancy Procedure</w:t>
      </w:r>
    </w:p>
    <w:p w14:paraId="0DDF94F9"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Strengthening New Tenancies Procedure</w:t>
      </w:r>
    </w:p>
    <w:p w14:paraId="5562D724"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Sustaining Tenancies Procedure</w:t>
      </w:r>
    </w:p>
    <w:p w14:paraId="4BE4733E"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 xml:space="preserve">Tenancy Management (Residential) Procedure </w:t>
      </w:r>
    </w:p>
    <w:p w14:paraId="1625F255" w14:textId="68BDCC31"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Tenant Compliments, Complaints</w:t>
      </w:r>
      <w:r w:rsidR="00925BDE">
        <w:rPr>
          <w:rFonts w:eastAsia="Times New Roman" w:cs="Arial"/>
          <w:szCs w:val="20"/>
          <w:lang w:eastAsia="en-AU"/>
        </w:rPr>
        <w:t>, Appeals and Feedback</w:t>
      </w:r>
      <w:r w:rsidRPr="00BF4481">
        <w:rPr>
          <w:rFonts w:eastAsia="Times New Roman" w:cs="Arial"/>
          <w:szCs w:val="20"/>
          <w:lang w:eastAsia="en-AU"/>
        </w:rPr>
        <w:t xml:space="preserve"> Procedure</w:t>
      </w:r>
    </w:p>
    <w:p w14:paraId="48CE746E"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Tenant Transfer Procedure</w:t>
      </w:r>
    </w:p>
    <w:p w14:paraId="335579BA"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Uniform and Dress Code Procedure</w:t>
      </w:r>
    </w:p>
    <w:p w14:paraId="712B9F45" w14:textId="77777777" w:rsidR="00BF4481" w:rsidRPr="00BF4481" w:rsidRDefault="00BF4481" w:rsidP="00BF4481">
      <w:pPr>
        <w:numPr>
          <w:ilvl w:val="0"/>
          <w:numId w:val="3"/>
        </w:numPr>
        <w:spacing w:after="0" w:line="280" w:lineRule="atLeast"/>
        <w:rPr>
          <w:rFonts w:eastAsia="Times New Roman" w:cs="Arial"/>
          <w:szCs w:val="20"/>
          <w:lang w:eastAsia="en-AU"/>
        </w:rPr>
      </w:pPr>
      <w:r w:rsidRPr="00BF4481">
        <w:rPr>
          <w:rFonts w:eastAsia="Times New Roman" w:cs="Arial"/>
          <w:szCs w:val="20"/>
          <w:lang w:eastAsia="en-AU"/>
        </w:rPr>
        <w:t>Visitor Procedure</w:t>
      </w:r>
    </w:p>
    <w:bookmarkEnd w:id="0"/>
    <w:p w14:paraId="318A1DF1" w14:textId="77777777" w:rsidR="00BF4481" w:rsidRPr="00BF4481" w:rsidRDefault="00BF4481" w:rsidP="00BF4481">
      <w:pPr>
        <w:tabs>
          <w:tab w:val="left" w:pos="1080"/>
        </w:tabs>
        <w:spacing w:after="0" w:line="280" w:lineRule="atLeast"/>
        <w:rPr>
          <w:rFonts w:eastAsia="Times New Roman" w:cs="Arial"/>
          <w:szCs w:val="20"/>
          <w:lang w:eastAsia="en-AU"/>
        </w:rPr>
      </w:pPr>
      <w:r w:rsidRPr="00BF4481">
        <w:rPr>
          <w:rFonts w:eastAsia="Times New Roman" w:cs="Arial"/>
          <w:szCs w:val="20"/>
          <w:lang w:eastAsia="en-AU"/>
        </w:rPr>
        <w:tab/>
      </w:r>
    </w:p>
    <w:p w14:paraId="335B5366" w14:textId="6A212218" w:rsidR="00A9057F" w:rsidRDefault="00A9057F"/>
    <w:sectPr w:rsidR="00A9057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D46D" w14:textId="77777777" w:rsidR="0055187A" w:rsidRDefault="0055187A" w:rsidP="00501527">
      <w:pPr>
        <w:spacing w:after="0" w:line="240" w:lineRule="auto"/>
      </w:pPr>
      <w:r>
        <w:separator/>
      </w:r>
    </w:p>
  </w:endnote>
  <w:endnote w:type="continuationSeparator" w:id="0">
    <w:p w14:paraId="074F6F12" w14:textId="77777777" w:rsidR="0055187A" w:rsidRDefault="0055187A" w:rsidP="0050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3ACB" w14:textId="544F6923" w:rsidR="00893698" w:rsidRPr="00893698" w:rsidRDefault="00893698" w:rsidP="00893698">
    <w:pPr>
      <w:pBdr>
        <w:top w:val="single" w:sz="4" w:space="1" w:color="auto"/>
      </w:pBdr>
      <w:tabs>
        <w:tab w:val="center" w:pos="4500"/>
        <w:tab w:val="right" w:pos="9072"/>
      </w:tabs>
      <w:spacing w:after="0" w:line="240" w:lineRule="auto"/>
      <w:rPr>
        <w:rFonts w:eastAsia="Times New Roman" w:cs="Arial"/>
        <w:sz w:val="16"/>
        <w:szCs w:val="16"/>
        <w:lang w:eastAsia="en-AU"/>
      </w:rPr>
    </w:pPr>
    <w:r w:rsidRPr="00893698">
      <w:rPr>
        <w:rFonts w:eastAsia="Times New Roman" w:cs="Arial"/>
        <w:sz w:val="16"/>
        <w:szCs w:val="16"/>
        <w:lang w:eastAsia="en-AU"/>
      </w:rPr>
      <w:t>Safeguarding Policy –</w:t>
    </w:r>
    <w:r w:rsidR="00941DAB" w:rsidRPr="00893698">
      <w:rPr>
        <w:rFonts w:eastAsia="Times New Roman" w:cs="Arial"/>
        <w:sz w:val="16"/>
        <w:szCs w:val="16"/>
        <w:lang w:eastAsia="en-AU"/>
      </w:rPr>
      <w:t>v</w:t>
    </w:r>
    <w:r w:rsidR="00941DAB">
      <w:rPr>
        <w:rFonts w:eastAsia="Times New Roman" w:cs="Arial"/>
        <w:sz w:val="16"/>
        <w:szCs w:val="16"/>
        <w:lang w:eastAsia="en-AU"/>
      </w:rPr>
      <w:t>2</w:t>
    </w:r>
    <w:r w:rsidR="00941DAB" w:rsidRPr="00893698">
      <w:rPr>
        <w:rFonts w:eastAsia="Times New Roman" w:cs="Arial"/>
        <w:sz w:val="16"/>
        <w:szCs w:val="16"/>
        <w:lang w:eastAsia="en-AU"/>
      </w:rPr>
      <w:t xml:space="preserve">                  </w:t>
    </w:r>
    <w:r w:rsidRPr="00893698">
      <w:rPr>
        <w:rFonts w:eastAsia="Times New Roman" w:cs="Arial"/>
        <w:sz w:val="16"/>
        <w:szCs w:val="16"/>
        <w:lang w:eastAsia="en-AU"/>
      </w:rPr>
      <w:tab/>
    </w:r>
    <w:r w:rsidRPr="00893698">
      <w:rPr>
        <w:rFonts w:eastAsia="Times New Roman" w:cs="Arial"/>
        <w:sz w:val="16"/>
        <w:szCs w:val="16"/>
        <w:lang w:eastAsia="en-AU"/>
      </w:rPr>
      <w:tab/>
      <w:t xml:space="preserve">Page </w:t>
    </w:r>
    <w:r w:rsidRPr="00893698">
      <w:rPr>
        <w:rFonts w:eastAsia="Times New Roman" w:cs="Arial"/>
        <w:sz w:val="16"/>
        <w:szCs w:val="16"/>
        <w:lang w:eastAsia="en-AU"/>
      </w:rPr>
      <w:fldChar w:fldCharType="begin"/>
    </w:r>
    <w:r w:rsidRPr="00893698">
      <w:rPr>
        <w:rFonts w:eastAsia="Times New Roman" w:cs="Arial"/>
        <w:sz w:val="16"/>
        <w:szCs w:val="16"/>
        <w:lang w:eastAsia="en-AU"/>
      </w:rPr>
      <w:instrText xml:space="preserve"> PAGE </w:instrText>
    </w:r>
    <w:r w:rsidRPr="00893698">
      <w:rPr>
        <w:rFonts w:eastAsia="Times New Roman" w:cs="Arial"/>
        <w:sz w:val="16"/>
        <w:szCs w:val="16"/>
        <w:lang w:eastAsia="en-AU"/>
      </w:rPr>
      <w:fldChar w:fldCharType="separate"/>
    </w:r>
    <w:r w:rsidRPr="00893698">
      <w:rPr>
        <w:rFonts w:eastAsia="Times New Roman" w:cs="Arial"/>
        <w:sz w:val="16"/>
        <w:szCs w:val="16"/>
        <w:lang w:eastAsia="en-AU"/>
      </w:rPr>
      <w:t>1</w:t>
    </w:r>
    <w:r w:rsidRPr="00893698">
      <w:rPr>
        <w:rFonts w:eastAsia="Times New Roman" w:cs="Arial"/>
        <w:sz w:val="16"/>
        <w:szCs w:val="16"/>
        <w:lang w:eastAsia="en-AU"/>
      </w:rPr>
      <w:fldChar w:fldCharType="end"/>
    </w:r>
    <w:r w:rsidRPr="00893698">
      <w:rPr>
        <w:rFonts w:eastAsia="Times New Roman" w:cs="Arial"/>
        <w:sz w:val="16"/>
        <w:szCs w:val="16"/>
        <w:lang w:eastAsia="en-AU"/>
      </w:rPr>
      <w:t xml:space="preserve"> of </w:t>
    </w:r>
    <w:r w:rsidRPr="00893698">
      <w:rPr>
        <w:rFonts w:eastAsia="Times New Roman" w:cs="Arial"/>
        <w:sz w:val="16"/>
        <w:szCs w:val="16"/>
        <w:lang w:eastAsia="en-AU"/>
      </w:rPr>
      <w:fldChar w:fldCharType="begin"/>
    </w:r>
    <w:r w:rsidRPr="00893698">
      <w:rPr>
        <w:rFonts w:eastAsia="Times New Roman" w:cs="Arial"/>
        <w:sz w:val="16"/>
        <w:szCs w:val="16"/>
        <w:lang w:eastAsia="en-AU"/>
      </w:rPr>
      <w:instrText xml:space="preserve"> NUMPAGES </w:instrText>
    </w:r>
    <w:r w:rsidRPr="00893698">
      <w:rPr>
        <w:rFonts w:eastAsia="Times New Roman" w:cs="Arial"/>
        <w:sz w:val="16"/>
        <w:szCs w:val="16"/>
        <w:lang w:eastAsia="en-AU"/>
      </w:rPr>
      <w:fldChar w:fldCharType="separate"/>
    </w:r>
    <w:r w:rsidRPr="00893698">
      <w:rPr>
        <w:rFonts w:eastAsia="Times New Roman" w:cs="Arial"/>
        <w:sz w:val="16"/>
        <w:szCs w:val="16"/>
        <w:lang w:eastAsia="en-AU"/>
      </w:rPr>
      <w:t>4</w:t>
    </w:r>
    <w:r w:rsidRPr="00893698">
      <w:rPr>
        <w:rFonts w:eastAsia="Times New Roman" w:cs="Arial"/>
        <w:sz w:val="16"/>
        <w:szCs w:val="16"/>
        <w:lang w:eastAsia="en-AU"/>
      </w:rPr>
      <w:fldChar w:fldCharType="end"/>
    </w:r>
  </w:p>
  <w:p w14:paraId="616032E3" w14:textId="77777777" w:rsidR="00893698" w:rsidRDefault="0089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75A1" w14:textId="77777777" w:rsidR="0055187A" w:rsidRDefault="0055187A" w:rsidP="00501527">
      <w:pPr>
        <w:spacing w:after="0" w:line="240" w:lineRule="auto"/>
      </w:pPr>
      <w:r>
        <w:separator/>
      </w:r>
    </w:p>
  </w:footnote>
  <w:footnote w:type="continuationSeparator" w:id="0">
    <w:p w14:paraId="33A7E147" w14:textId="77777777" w:rsidR="0055187A" w:rsidRDefault="0055187A" w:rsidP="00501527">
      <w:pPr>
        <w:spacing w:after="0" w:line="240" w:lineRule="auto"/>
      </w:pPr>
      <w:r>
        <w:continuationSeparator/>
      </w:r>
    </w:p>
  </w:footnote>
  <w:footnote w:id="1">
    <w:p w14:paraId="1AAB7467" w14:textId="77777777" w:rsidR="00BF4481" w:rsidRDefault="00BF4481" w:rsidP="00BF4481">
      <w:pPr>
        <w:pStyle w:val="FootnoteText"/>
      </w:pPr>
      <w:r>
        <w:rPr>
          <w:rStyle w:val="FootnoteReference"/>
        </w:rPr>
        <w:footnoteRef/>
      </w:r>
      <w:r>
        <w:t xml:space="preserve"> Includes students and interns.</w:t>
      </w:r>
    </w:p>
  </w:footnote>
  <w:footnote w:id="2">
    <w:p w14:paraId="3E9D62B1" w14:textId="77777777" w:rsidR="00BF4481" w:rsidRDefault="00BF4481" w:rsidP="00BF4481">
      <w:pPr>
        <w:pStyle w:val="FootnoteText"/>
      </w:pPr>
      <w:r>
        <w:rPr>
          <w:rStyle w:val="FootnoteReference"/>
        </w:rPr>
        <w:footnoteRef/>
      </w:r>
      <w:r>
        <w:t xml:space="preserve"> Partners refers to agencies that Common Ground Queensland has an official arrangement with via signed MOU, Partnership Agreement or Contract to implement or deliver Common Ground Queensland programs, projects and initiatives.</w:t>
      </w:r>
    </w:p>
  </w:footnote>
  <w:footnote w:id="3">
    <w:p w14:paraId="36E000E2" w14:textId="77777777" w:rsidR="00BF4481" w:rsidRDefault="00BF4481" w:rsidP="00BF4481">
      <w:pPr>
        <w:pStyle w:val="FootnoteText"/>
      </w:pPr>
      <w:r>
        <w:rPr>
          <w:rStyle w:val="FootnoteReference"/>
        </w:rPr>
        <w:footnoteRef/>
      </w:r>
      <w:r>
        <w:t xml:space="preserve"> Associates refers to consultants, suppliers, visitors to our programs (including media), advisory group members, supporters and any other individuals or groups that have been brought into contact with children or vulnerable adults (including their personal information and images) while working with and/or supporting Common Ground Queensland.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4AF5" w14:textId="77777777" w:rsidR="001A6199" w:rsidRDefault="00AD0950" w:rsidP="00CE2356">
    <w:pPr>
      <w:pStyle w:val="Header"/>
    </w:pPr>
    <w:r>
      <w:t xml:space="preserve"> </w:t>
    </w:r>
  </w:p>
  <w:tbl>
    <w:tblPr>
      <w:tblW w:w="9288" w:type="dxa"/>
      <w:tblBorders>
        <w:bottom w:val="single" w:sz="4" w:space="0" w:color="auto"/>
        <w:insideH w:val="single" w:sz="4" w:space="0" w:color="auto"/>
      </w:tblBorders>
      <w:tblLayout w:type="fixed"/>
      <w:tblLook w:val="01E0" w:firstRow="1" w:lastRow="1" w:firstColumn="1" w:lastColumn="1" w:noHBand="0" w:noVBand="0"/>
    </w:tblPr>
    <w:tblGrid>
      <w:gridCol w:w="7308"/>
      <w:gridCol w:w="1980"/>
    </w:tblGrid>
    <w:tr w:rsidR="001A6199" w:rsidRPr="00131F19" w14:paraId="53BC514B" w14:textId="77777777" w:rsidTr="00192E18">
      <w:tc>
        <w:tcPr>
          <w:tcW w:w="7308" w:type="dxa"/>
        </w:tcPr>
        <w:p w14:paraId="465B5CF7" w14:textId="77777777" w:rsidR="001A6199" w:rsidRPr="00131F19" w:rsidRDefault="001A6199" w:rsidP="001A6199">
          <w:pPr>
            <w:pStyle w:val="Title"/>
          </w:pPr>
          <w:r w:rsidRPr="00131F19">
            <w:t>Management System</w:t>
          </w:r>
        </w:p>
        <w:p w14:paraId="3A0A3FE8" w14:textId="77777777" w:rsidR="001A6199" w:rsidRPr="00131F19" w:rsidRDefault="001A6199" w:rsidP="001A6199">
          <w:pPr>
            <w:pStyle w:val="Title"/>
          </w:pPr>
        </w:p>
        <w:p w14:paraId="36426865" w14:textId="77777777" w:rsidR="001A6199" w:rsidRPr="00131F19" w:rsidRDefault="001A6199" w:rsidP="001A6199">
          <w:pPr>
            <w:pStyle w:val="Title"/>
          </w:pPr>
          <w:r w:rsidRPr="00131F19">
            <w:t>P</w:t>
          </w:r>
          <w:r>
            <w:t>olicy</w:t>
          </w:r>
        </w:p>
      </w:tc>
      <w:tc>
        <w:tcPr>
          <w:tcW w:w="1980" w:type="dxa"/>
        </w:tcPr>
        <w:p w14:paraId="2CABBE9D" w14:textId="77777777" w:rsidR="001A6199" w:rsidRPr="00131F19" w:rsidRDefault="001A6199" w:rsidP="001A6199">
          <w:pPr>
            <w:pStyle w:val="Title"/>
          </w:pPr>
          <w:r w:rsidRPr="00131F19">
            <w:rPr>
              <w:noProof/>
            </w:rPr>
            <w:drawing>
              <wp:inline distT="0" distB="0" distL="0" distR="0" wp14:anchorId="7A87964A" wp14:editId="3E9D923D">
                <wp:extent cx="1120140" cy="610870"/>
                <wp:effectExtent l="0" t="0" r="3810" b="0"/>
                <wp:docPr id="198885925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9259" name="Picture 2"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0140" cy="610870"/>
                        </a:xfrm>
                        <a:prstGeom prst="rect">
                          <a:avLst/>
                        </a:prstGeom>
                      </pic:spPr>
                    </pic:pic>
                  </a:graphicData>
                </a:graphic>
              </wp:inline>
            </w:drawing>
          </w:r>
        </w:p>
      </w:tc>
    </w:tr>
  </w:tbl>
  <w:p w14:paraId="3E1FD75C" w14:textId="74FFECE0" w:rsidR="00501527" w:rsidRDefault="00501527" w:rsidP="00CE2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DEF"/>
    <w:multiLevelType w:val="hybridMultilevel"/>
    <w:tmpl w:val="DDEE7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77453"/>
    <w:multiLevelType w:val="hybridMultilevel"/>
    <w:tmpl w:val="E1EA65A8"/>
    <w:lvl w:ilvl="0" w:tplc="0C090011">
      <w:start w:val="1"/>
      <w:numFmt w:val="decimal"/>
      <w:lvlText w:val="%1)"/>
      <w:lvlJc w:val="left"/>
      <w:pPr>
        <w:ind w:left="720" w:hanging="360"/>
      </w:pPr>
      <w:rPr>
        <w:rFont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B113F0"/>
    <w:multiLevelType w:val="hybridMultilevel"/>
    <w:tmpl w:val="3AF66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F97914"/>
    <w:multiLevelType w:val="multilevel"/>
    <w:tmpl w:val="CDE8D4F0"/>
    <w:lvl w:ilvl="0">
      <w:start w:val="1"/>
      <w:numFmt w:val="decimal"/>
      <w:pStyle w:val="CGQHL1"/>
      <w:lvlText w:val="%1."/>
      <w:lvlJc w:val="left"/>
      <w:pPr>
        <w:tabs>
          <w:tab w:val="num" w:pos="567"/>
        </w:tabs>
        <w:ind w:left="567" w:hanging="567"/>
      </w:pPr>
      <w:rPr>
        <w:rFonts w:hint="default"/>
        <w:b/>
        <w:bCs/>
      </w:rPr>
    </w:lvl>
    <w:lvl w:ilvl="1">
      <w:start w:val="1"/>
      <w:numFmt w:val="decimal"/>
      <w:pStyle w:val="CGQHL2"/>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2381"/>
        </w:tabs>
        <w:ind w:left="2381" w:hanging="3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52B2AAD"/>
    <w:multiLevelType w:val="hybridMultilevel"/>
    <w:tmpl w:val="D63C6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1A7E5D"/>
    <w:multiLevelType w:val="hybridMultilevel"/>
    <w:tmpl w:val="898A099E"/>
    <w:lvl w:ilvl="0" w:tplc="69C886C6">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476166"/>
    <w:multiLevelType w:val="hybridMultilevel"/>
    <w:tmpl w:val="083A13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0602CD"/>
    <w:multiLevelType w:val="hybridMultilevel"/>
    <w:tmpl w:val="508A33F6"/>
    <w:lvl w:ilvl="0" w:tplc="E014206A">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669C8"/>
    <w:multiLevelType w:val="hybridMultilevel"/>
    <w:tmpl w:val="26FA89C2"/>
    <w:lvl w:ilvl="0" w:tplc="0C090001">
      <w:start w:val="1"/>
      <w:numFmt w:val="bullet"/>
      <w:lvlText w:val=""/>
      <w:lvlJc w:val="left"/>
      <w:pPr>
        <w:ind w:left="720" w:hanging="360"/>
      </w:pPr>
      <w:rPr>
        <w:rFonts w:ascii="Symbol" w:hAnsi="Symbol" w:hint="default"/>
      </w:rPr>
    </w:lvl>
    <w:lvl w:ilvl="1" w:tplc="E014206A">
      <w:start w:val="1"/>
      <w:numFmt w:val="bullet"/>
      <w:lvlText w:val=""/>
      <w:lvlJc w:val="left"/>
      <w:pPr>
        <w:ind w:left="1440" w:hanging="360"/>
      </w:pPr>
      <w:rPr>
        <w:rFonts w:ascii="Symbol" w:hAnsi="Symbol" w:hint="default"/>
        <w:color w:val="000000"/>
        <w:sz w:val="1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646A06"/>
    <w:multiLevelType w:val="hybridMultilevel"/>
    <w:tmpl w:val="67D0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566758">
    <w:abstractNumId w:val="3"/>
  </w:num>
  <w:num w:numId="2" w16cid:durableId="1753699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079699">
    <w:abstractNumId w:val="7"/>
  </w:num>
  <w:num w:numId="4" w16cid:durableId="1776555012">
    <w:abstractNumId w:val="8"/>
  </w:num>
  <w:num w:numId="5" w16cid:durableId="417596804">
    <w:abstractNumId w:val="5"/>
  </w:num>
  <w:num w:numId="6" w16cid:durableId="979966281">
    <w:abstractNumId w:val="0"/>
  </w:num>
  <w:num w:numId="7" w16cid:durableId="991712948">
    <w:abstractNumId w:val="4"/>
  </w:num>
  <w:num w:numId="8" w16cid:durableId="287324880">
    <w:abstractNumId w:val="2"/>
  </w:num>
  <w:num w:numId="9" w16cid:durableId="98719429">
    <w:abstractNumId w:val="9"/>
  </w:num>
  <w:num w:numId="10" w16cid:durableId="476268526">
    <w:abstractNumId w:val="6"/>
  </w:num>
  <w:num w:numId="11" w16cid:durableId="140175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27"/>
    <w:rsid w:val="00072B8B"/>
    <w:rsid w:val="000D2296"/>
    <w:rsid w:val="000E0A0A"/>
    <w:rsid w:val="001719BB"/>
    <w:rsid w:val="001A600E"/>
    <w:rsid w:val="001A6199"/>
    <w:rsid w:val="001E0D73"/>
    <w:rsid w:val="001E5F28"/>
    <w:rsid w:val="002C6D1E"/>
    <w:rsid w:val="002C7ACB"/>
    <w:rsid w:val="002D2A6A"/>
    <w:rsid w:val="002E199C"/>
    <w:rsid w:val="003B6E2F"/>
    <w:rsid w:val="00424C70"/>
    <w:rsid w:val="004E7CD4"/>
    <w:rsid w:val="00501527"/>
    <w:rsid w:val="005375CC"/>
    <w:rsid w:val="00541B1E"/>
    <w:rsid w:val="0055187A"/>
    <w:rsid w:val="005A5A87"/>
    <w:rsid w:val="006C79AC"/>
    <w:rsid w:val="006E2D98"/>
    <w:rsid w:val="008561C7"/>
    <w:rsid w:val="00893698"/>
    <w:rsid w:val="008A135D"/>
    <w:rsid w:val="00906041"/>
    <w:rsid w:val="0091419E"/>
    <w:rsid w:val="00925BDE"/>
    <w:rsid w:val="00941DAB"/>
    <w:rsid w:val="00982047"/>
    <w:rsid w:val="009A5347"/>
    <w:rsid w:val="00A41F63"/>
    <w:rsid w:val="00A53B87"/>
    <w:rsid w:val="00A903D8"/>
    <w:rsid w:val="00A9057F"/>
    <w:rsid w:val="00AC1172"/>
    <w:rsid w:val="00AD0950"/>
    <w:rsid w:val="00B367A1"/>
    <w:rsid w:val="00B72E11"/>
    <w:rsid w:val="00BD501B"/>
    <w:rsid w:val="00BE69EC"/>
    <w:rsid w:val="00BF4481"/>
    <w:rsid w:val="00BF76E4"/>
    <w:rsid w:val="00C20AAB"/>
    <w:rsid w:val="00C31F83"/>
    <w:rsid w:val="00C35828"/>
    <w:rsid w:val="00C40939"/>
    <w:rsid w:val="00CD4953"/>
    <w:rsid w:val="00CD67FF"/>
    <w:rsid w:val="00CE2356"/>
    <w:rsid w:val="00D1166C"/>
    <w:rsid w:val="00D35F08"/>
    <w:rsid w:val="00D878BC"/>
    <w:rsid w:val="00E25D96"/>
    <w:rsid w:val="00E70BBB"/>
    <w:rsid w:val="00E70DF9"/>
    <w:rsid w:val="00EB0C5C"/>
    <w:rsid w:val="00EB4B71"/>
    <w:rsid w:val="00F03927"/>
    <w:rsid w:val="00F56743"/>
    <w:rsid w:val="00FF5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62ACD"/>
  <w15:chartTrackingRefBased/>
  <w15:docId w15:val="{F7B49822-65B9-46A6-B00C-BA01B2E4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527"/>
    <w:pPr>
      <w:spacing w:line="36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QH1">
    <w:name w:val="CGQH1"/>
    <w:basedOn w:val="Normal"/>
    <w:next w:val="Normal"/>
    <w:qFormat/>
    <w:rsid w:val="00501527"/>
    <w:pPr>
      <w:keepNext/>
      <w:spacing w:before="240" w:after="240" w:line="240" w:lineRule="auto"/>
      <w:outlineLvl w:val="0"/>
    </w:pPr>
    <w:rPr>
      <w:rFonts w:eastAsia="Times New Roman" w:cs="Times New Roman"/>
      <w:b/>
      <w:bCs/>
      <w:color w:val="000000"/>
      <w:kern w:val="32"/>
      <w:sz w:val="24"/>
      <w:szCs w:val="32"/>
      <w:lang w:eastAsia="en-AU"/>
    </w:rPr>
  </w:style>
  <w:style w:type="paragraph" w:customStyle="1" w:styleId="CGQH2">
    <w:name w:val="CGQH2"/>
    <w:basedOn w:val="Normal"/>
    <w:next w:val="Normal"/>
    <w:qFormat/>
    <w:rsid w:val="00501527"/>
    <w:rPr>
      <w:rFonts w:cs="Arial"/>
      <w:b/>
      <w:bCs/>
      <w:szCs w:val="20"/>
    </w:rPr>
  </w:style>
  <w:style w:type="paragraph" w:customStyle="1" w:styleId="CGQHL1">
    <w:name w:val="CGQHL1"/>
    <w:basedOn w:val="ListParagraph"/>
    <w:qFormat/>
    <w:rsid w:val="00CE2356"/>
    <w:pPr>
      <w:numPr>
        <w:numId w:val="1"/>
      </w:numPr>
      <w:tabs>
        <w:tab w:val="clear" w:pos="567"/>
        <w:tab w:val="num" w:pos="360"/>
      </w:tabs>
      <w:ind w:left="0" w:firstLine="0"/>
      <w:contextualSpacing w:val="0"/>
    </w:pPr>
    <w:rPr>
      <w:rFonts w:cs="Arial"/>
      <w:b/>
      <w:bCs/>
      <w:szCs w:val="20"/>
    </w:rPr>
  </w:style>
  <w:style w:type="paragraph" w:customStyle="1" w:styleId="CGQHL2">
    <w:name w:val="CGQHL2"/>
    <w:basedOn w:val="Normal"/>
    <w:qFormat/>
    <w:rsid w:val="00501527"/>
    <w:pPr>
      <w:numPr>
        <w:ilvl w:val="1"/>
        <w:numId w:val="1"/>
      </w:numPr>
    </w:pPr>
    <w:rPr>
      <w:rFonts w:cs="Arial"/>
      <w:b/>
      <w:bCs/>
      <w:szCs w:val="20"/>
    </w:rPr>
  </w:style>
  <w:style w:type="paragraph" w:styleId="ListParagraph">
    <w:name w:val="List Paragraph"/>
    <w:basedOn w:val="Normal"/>
    <w:uiPriority w:val="34"/>
    <w:qFormat/>
    <w:rsid w:val="00501527"/>
    <w:pPr>
      <w:ind w:left="720"/>
      <w:contextualSpacing/>
    </w:pPr>
  </w:style>
  <w:style w:type="paragraph" w:styleId="Header">
    <w:name w:val="header"/>
    <w:basedOn w:val="Normal"/>
    <w:link w:val="HeaderChar"/>
    <w:uiPriority w:val="99"/>
    <w:unhideWhenUsed/>
    <w:rsid w:val="00501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527"/>
    <w:rPr>
      <w:rFonts w:ascii="Arial" w:hAnsi="Arial"/>
      <w:sz w:val="20"/>
    </w:rPr>
  </w:style>
  <w:style w:type="paragraph" w:styleId="Footer">
    <w:name w:val="footer"/>
    <w:basedOn w:val="Normal"/>
    <w:link w:val="FooterChar"/>
    <w:uiPriority w:val="99"/>
    <w:unhideWhenUsed/>
    <w:rsid w:val="00501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527"/>
    <w:rPr>
      <w:rFonts w:ascii="Arial" w:hAnsi="Arial"/>
      <w:sz w:val="20"/>
    </w:rPr>
  </w:style>
  <w:style w:type="table" w:styleId="TableGridLight">
    <w:name w:val="Grid Table Light"/>
    <w:basedOn w:val="TableNormal"/>
    <w:uiPriority w:val="40"/>
    <w:rsid w:val="005015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0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4481"/>
    <w:pPr>
      <w:spacing w:after="0" w:line="240" w:lineRule="auto"/>
    </w:pPr>
    <w:rPr>
      <w:rFonts w:ascii="Calibri" w:eastAsia="Calibri" w:hAnsi="Calibri" w:cs="Times New Roman"/>
      <w:szCs w:val="20"/>
    </w:rPr>
  </w:style>
  <w:style w:type="character" w:customStyle="1" w:styleId="FootnoteTextChar">
    <w:name w:val="Footnote Text Char"/>
    <w:basedOn w:val="DefaultParagraphFont"/>
    <w:link w:val="FootnoteText"/>
    <w:uiPriority w:val="99"/>
    <w:rsid w:val="00BF4481"/>
    <w:rPr>
      <w:rFonts w:ascii="Calibri" w:eastAsia="Calibri" w:hAnsi="Calibri" w:cs="Times New Roman"/>
      <w:sz w:val="20"/>
      <w:szCs w:val="20"/>
    </w:rPr>
  </w:style>
  <w:style w:type="character" w:styleId="FootnoteReference">
    <w:name w:val="footnote reference"/>
    <w:uiPriority w:val="99"/>
    <w:unhideWhenUsed/>
    <w:rsid w:val="00BF4481"/>
    <w:rPr>
      <w:vertAlign w:val="superscript"/>
    </w:rPr>
  </w:style>
  <w:style w:type="character" w:styleId="CommentReference">
    <w:name w:val="annotation reference"/>
    <w:basedOn w:val="DefaultParagraphFont"/>
    <w:uiPriority w:val="99"/>
    <w:semiHidden/>
    <w:unhideWhenUsed/>
    <w:rsid w:val="005A5A87"/>
    <w:rPr>
      <w:sz w:val="16"/>
      <w:szCs w:val="16"/>
    </w:rPr>
  </w:style>
  <w:style w:type="paragraph" w:styleId="CommentText">
    <w:name w:val="annotation text"/>
    <w:basedOn w:val="Normal"/>
    <w:link w:val="CommentTextChar"/>
    <w:uiPriority w:val="99"/>
    <w:unhideWhenUsed/>
    <w:rsid w:val="005A5A87"/>
    <w:pPr>
      <w:spacing w:line="240" w:lineRule="auto"/>
    </w:pPr>
    <w:rPr>
      <w:szCs w:val="20"/>
    </w:rPr>
  </w:style>
  <w:style w:type="character" w:customStyle="1" w:styleId="CommentTextChar">
    <w:name w:val="Comment Text Char"/>
    <w:basedOn w:val="DefaultParagraphFont"/>
    <w:link w:val="CommentText"/>
    <w:uiPriority w:val="99"/>
    <w:rsid w:val="005A5A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5A87"/>
    <w:rPr>
      <w:b/>
      <w:bCs/>
    </w:rPr>
  </w:style>
  <w:style w:type="character" w:customStyle="1" w:styleId="CommentSubjectChar">
    <w:name w:val="Comment Subject Char"/>
    <w:basedOn w:val="CommentTextChar"/>
    <w:link w:val="CommentSubject"/>
    <w:uiPriority w:val="99"/>
    <w:semiHidden/>
    <w:rsid w:val="005A5A87"/>
    <w:rPr>
      <w:rFonts w:ascii="Arial" w:hAnsi="Arial"/>
      <w:b/>
      <w:bCs/>
      <w:sz w:val="20"/>
      <w:szCs w:val="20"/>
    </w:rPr>
  </w:style>
  <w:style w:type="paragraph" w:styleId="Revision">
    <w:name w:val="Revision"/>
    <w:hidden/>
    <w:uiPriority w:val="99"/>
    <w:semiHidden/>
    <w:rsid w:val="002C6D1E"/>
    <w:pPr>
      <w:spacing w:after="0" w:line="240" w:lineRule="auto"/>
    </w:pPr>
    <w:rPr>
      <w:rFonts w:ascii="Arial" w:hAnsi="Arial"/>
      <w:sz w:val="20"/>
    </w:rPr>
  </w:style>
  <w:style w:type="paragraph" w:styleId="Title">
    <w:name w:val="Title"/>
    <w:basedOn w:val="Normal"/>
    <w:next w:val="Normal"/>
    <w:link w:val="TitleChar"/>
    <w:qFormat/>
    <w:rsid w:val="001A6199"/>
    <w:pPr>
      <w:keepNext/>
      <w:keepLines/>
      <w:tabs>
        <w:tab w:val="left" w:pos="1985"/>
      </w:tabs>
      <w:spacing w:before="120" w:after="120" w:line="240" w:lineRule="auto"/>
    </w:pPr>
    <w:rPr>
      <w:rFonts w:eastAsia="Times New Roman" w:cs="Arial"/>
      <w:sz w:val="24"/>
      <w:szCs w:val="24"/>
      <w:lang w:eastAsia="en-AU"/>
    </w:rPr>
  </w:style>
  <w:style w:type="character" w:customStyle="1" w:styleId="TitleChar">
    <w:name w:val="Title Char"/>
    <w:basedOn w:val="DefaultParagraphFont"/>
    <w:link w:val="Title"/>
    <w:rsid w:val="001A6199"/>
    <w:rPr>
      <w:rFonts w:ascii="Arial" w:eastAsia="Times New Roman"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0c5c05-d9db-4dac-919e-33fa97c2c359">
      <Terms xmlns="http://schemas.microsoft.com/office/infopath/2007/PartnerControls"/>
    </lcf76f155ced4ddcb4097134ff3c332f>
    <TaxCatchAll xmlns="3058a51c-ebf3-45da-a46e-4c7994461d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D81CF50400842823902D055956492" ma:contentTypeVersion="18" ma:contentTypeDescription="Create a new document." ma:contentTypeScope="" ma:versionID="0a86aa45d5caa0600f1b43fb270fdd6a">
  <xsd:schema xmlns:xsd="http://www.w3.org/2001/XMLSchema" xmlns:xs="http://www.w3.org/2001/XMLSchema" xmlns:p="http://schemas.microsoft.com/office/2006/metadata/properties" xmlns:ns2="660c5c05-d9db-4dac-919e-33fa97c2c359" xmlns:ns3="3058a51c-ebf3-45da-a46e-4c7994461d52" targetNamespace="http://schemas.microsoft.com/office/2006/metadata/properties" ma:root="true" ma:fieldsID="effe0a94623eead1b070b0aa795add6d" ns2:_="" ns3:_="">
    <xsd:import namespace="660c5c05-d9db-4dac-919e-33fa97c2c359"/>
    <xsd:import namespace="3058a51c-ebf3-45da-a46e-4c7994461d52"/>
    <xsd:element name="properties">
      <xsd:complexType>
        <xsd:sequence>
          <xsd:element name="documentManagement">
            <xsd:complexType>
              <xsd:all>
                <xsd:element ref="ns2:MediaServiceKeyPoints" minOccurs="0"/>
                <xsd:element ref="ns2:MediaServiceOCR" minOccurs="0"/>
                <xsd:element ref="ns2:MediaServiceMetadata" minOccurs="0"/>
                <xsd:element ref="ns2:MediaServiceFastMetadata" minOccurs="0"/>
                <xsd:element ref="ns2:MediaServiceAutoKeyPoint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5c05-d9db-4dac-919e-33fa97c2c359"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57dfa-f651-4b50-94d5-3bd51943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8a51c-ebf3-45da-a46e-4c7994461d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2ae894-e8fc-4441-a47c-de32c513598a}" ma:internalName="TaxCatchAll" ma:showField="CatchAllData" ma:web="3058a51c-ebf3-45da-a46e-4c7994461d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8D930-D11F-449C-8727-BDA88DAD6508}">
  <ds:schemaRefs>
    <ds:schemaRef ds:uri="http://schemas.microsoft.com/office/2006/metadata/properties"/>
    <ds:schemaRef ds:uri="http://schemas.microsoft.com/office/infopath/2007/PartnerControls"/>
    <ds:schemaRef ds:uri="660c5c05-d9db-4dac-919e-33fa97c2c359"/>
    <ds:schemaRef ds:uri="3058a51c-ebf3-45da-a46e-4c7994461d52"/>
  </ds:schemaRefs>
</ds:datastoreItem>
</file>

<file path=customXml/itemProps2.xml><?xml version="1.0" encoding="utf-8"?>
<ds:datastoreItem xmlns:ds="http://schemas.openxmlformats.org/officeDocument/2006/customXml" ds:itemID="{6AB29D66-3719-4A73-8971-DAD64A25A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c5c05-d9db-4dac-919e-33fa97c2c359"/>
    <ds:schemaRef ds:uri="3058a51c-ebf3-45da-a46e-4c7994461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B4BA6-8B17-46DC-9E5A-31337A358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1515</Words>
  <Characters>8957</Characters>
  <Application>Microsoft Office Word</Application>
  <DocSecurity>0</DocSecurity>
  <Lines>182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Ackerman</dc:creator>
  <cp:keywords/>
  <dc:description/>
  <cp:lastModifiedBy>Maria Corbett</cp:lastModifiedBy>
  <cp:revision>34</cp:revision>
  <dcterms:created xsi:type="dcterms:W3CDTF">2023-03-21T05:54:00Z</dcterms:created>
  <dcterms:modified xsi:type="dcterms:W3CDTF">2026-03-30T03:23:00Z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0x0101007F8D81CF50400842823902D055956492</vt:lpwstr>
  </property>
  <property fmtid="{D5CDD505-2E9C-101B-9397-08002B2CF9AE}" pid="3" name="MediaServiceImageTags">
    <vt:lpwstr/>
  </property>
</Properties>
</file>