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4377" w14:textId="711B7C17" w:rsidR="0080164F" w:rsidRDefault="0080164F" w:rsidP="0080164F">
      <w:pPr>
        <w:pStyle w:val="Heading1"/>
      </w:pPr>
      <w:r>
        <w:t>Fact Sheet: Utilities</w:t>
      </w:r>
    </w:p>
    <w:p w14:paraId="4CECA440" w14:textId="0524CA30" w:rsidR="00FB67D1" w:rsidRPr="00A2114C" w:rsidRDefault="00AF2C0A" w:rsidP="00693D2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 xml:space="preserve">In </w:t>
      </w:r>
      <w:r w:rsidR="0040732F" w:rsidRPr="00A2114C">
        <w:rPr>
          <w:rFonts w:ascii="Arial" w:hAnsi="Arial" w:cs="Arial"/>
          <w:sz w:val="20"/>
          <w:szCs w:val="20"/>
        </w:rPr>
        <w:t>Common Ground Queensland’s</w:t>
      </w:r>
      <w:r w:rsidRPr="00A2114C">
        <w:rPr>
          <w:rFonts w:ascii="Arial" w:hAnsi="Arial" w:cs="Arial"/>
          <w:sz w:val="20"/>
          <w:szCs w:val="20"/>
        </w:rPr>
        <w:t xml:space="preserve"> 2022 Tenant Survey, 47% of </w:t>
      </w:r>
      <w:r w:rsidR="0040732F" w:rsidRPr="00A2114C">
        <w:rPr>
          <w:rFonts w:ascii="Arial" w:hAnsi="Arial" w:cs="Arial"/>
          <w:sz w:val="20"/>
          <w:szCs w:val="20"/>
        </w:rPr>
        <w:t>tenants who took part</w:t>
      </w:r>
      <w:r w:rsidR="00CC7179" w:rsidRPr="00A2114C">
        <w:rPr>
          <w:rFonts w:ascii="Arial" w:hAnsi="Arial" w:cs="Arial"/>
          <w:sz w:val="20"/>
          <w:szCs w:val="20"/>
        </w:rPr>
        <w:t xml:space="preserve"> said they did not understand the process of paying electricity and water bills</w:t>
      </w:r>
      <w:r w:rsidR="002868D9" w:rsidRPr="00A2114C">
        <w:rPr>
          <w:rFonts w:ascii="Arial" w:hAnsi="Arial" w:cs="Arial"/>
          <w:sz w:val="20"/>
          <w:szCs w:val="20"/>
        </w:rPr>
        <w:t>.</w:t>
      </w:r>
    </w:p>
    <w:p w14:paraId="28C1ED15" w14:textId="1AEB5DED" w:rsidR="008E35EF" w:rsidRPr="00A2114C" w:rsidRDefault="00493AF2" w:rsidP="00693D2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>In t</w:t>
      </w:r>
      <w:r w:rsidR="008E35EF" w:rsidRPr="00A2114C">
        <w:rPr>
          <w:rFonts w:ascii="Arial" w:hAnsi="Arial" w:cs="Arial"/>
          <w:sz w:val="20"/>
          <w:szCs w:val="20"/>
        </w:rPr>
        <w:t xml:space="preserve">his factsheet </w:t>
      </w:r>
      <w:r w:rsidRPr="00A2114C">
        <w:rPr>
          <w:rFonts w:ascii="Arial" w:hAnsi="Arial" w:cs="Arial"/>
          <w:sz w:val="20"/>
          <w:szCs w:val="20"/>
        </w:rPr>
        <w:t>we will</w:t>
      </w:r>
      <w:r w:rsidR="008E35EF" w:rsidRPr="00A2114C">
        <w:rPr>
          <w:rFonts w:ascii="Arial" w:hAnsi="Arial" w:cs="Arial"/>
          <w:sz w:val="20"/>
          <w:szCs w:val="20"/>
        </w:rPr>
        <w:t xml:space="preserve"> explain </w:t>
      </w:r>
      <w:r w:rsidR="001240CE" w:rsidRPr="00A2114C">
        <w:rPr>
          <w:rFonts w:ascii="Arial" w:hAnsi="Arial" w:cs="Arial"/>
          <w:sz w:val="20"/>
          <w:szCs w:val="20"/>
        </w:rPr>
        <w:t>the process for tenants paying utilities at Brisbane Common Ground</w:t>
      </w:r>
      <w:r w:rsidR="00A96F6E" w:rsidRPr="00A2114C">
        <w:rPr>
          <w:rFonts w:ascii="Arial" w:hAnsi="Arial" w:cs="Arial"/>
          <w:sz w:val="20"/>
          <w:szCs w:val="20"/>
        </w:rPr>
        <w:t>.</w:t>
      </w:r>
    </w:p>
    <w:p w14:paraId="795E494A" w14:textId="0259BAE1" w:rsidR="003B0CA4" w:rsidRPr="00A2114C" w:rsidRDefault="006E6461" w:rsidP="00811320">
      <w:pPr>
        <w:pStyle w:val="Heading1"/>
        <w:spacing w:after="120"/>
        <w:rPr>
          <w:sz w:val="20"/>
          <w:szCs w:val="20"/>
        </w:rPr>
      </w:pPr>
      <w:r w:rsidRPr="00A2114C">
        <w:rPr>
          <w:sz w:val="20"/>
          <w:szCs w:val="20"/>
        </w:rPr>
        <w:t xml:space="preserve">Think </w:t>
      </w:r>
      <w:r w:rsidR="00D86463" w:rsidRPr="00A2114C">
        <w:rPr>
          <w:sz w:val="20"/>
          <w:szCs w:val="20"/>
        </w:rPr>
        <w:t>b</w:t>
      </w:r>
      <w:r w:rsidRPr="00A2114C">
        <w:rPr>
          <w:sz w:val="20"/>
          <w:szCs w:val="20"/>
        </w:rPr>
        <w:t xml:space="preserve">ack to </w:t>
      </w:r>
      <w:r w:rsidR="00D86463" w:rsidRPr="00A2114C">
        <w:rPr>
          <w:sz w:val="20"/>
          <w:szCs w:val="20"/>
        </w:rPr>
        <w:t xml:space="preserve">your </w:t>
      </w:r>
      <w:r w:rsidRPr="00A2114C">
        <w:rPr>
          <w:sz w:val="20"/>
          <w:szCs w:val="20"/>
        </w:rPr>
        <w:t>Tenancy Sign-u</w:t>
      </w:r>
      <w:r w:rsidR="006D764E" w:rsidRPr="00A2114C">
        <w:rPr>
          <w:sz w:val="20"/>
          <w:szCs w:val="20"/>
        </w:rPr>
        <w:t>p</w:t>
      </w:r>
    </w:p>
    <w:p w14:paraId="58757117" w14:textId="256BF579" w:rsidR="006E6461" w:rsidRPr="00A2114C" w:rsidRDefault="006E6461" w:rsidP="006D764E">
      <w:pPr>
        <w:spacing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 xml:space="preserve">You </w:t>
      </w:r>
      <w:r w:rsidR="00CF7205" w:rsidRPr="00A2114C">
        <w:rPr>
          <w:rFonts w:ascii="Arial" w:hAnsi="Arial" w:cs="Arial"/>
          <w:sz w:val="20"/>
          <w:szCs w:val="20"/>
        </w:rPr>
        <w:t>may recall that</w:t>
      </w:r>
      <w:r w:rsidRPr="00A2114C">
        <w:rPr>
          <w:rFonts w:ascii="Arial" w:hAnsi="Arial" w:cs="Arial"/>
          <w:sz w:val="20"/>
          <w:szCs w:val="20"/>
        </w:rPr>
        <w:t xml:space="preserve"> </w:t>
      </w:r>
      <w:r w:rsidR="001240CE" w:rsidRPr="00A2114C">
        <w:rPr>
          <w:rFonts w:ascii="Arial" w:hAnsi="Arial" w:cs="Arial"/>
          <w:sz w:val="20"/>
          <w:szCs w:val="20"/>
        </w:rPr>
        <w:t>your</w:t>
      </w:r>
      <w:r w:rsidRPr="00A2114C">
        <w:rPr>
          <w:rFonts w:ascii="Arial" w:hAnsi="Arial" w:cs="Arial"/>
          <w:sz w:val="20"/>
          <w:szCs w:val="20"/>
        </w:rPr>
        <w:t xml:space="preserve"> lease agreement </w:t>
      </w:r>
      <w:r w:rsidR="00D20A15" w:rsidRPr="00A2114C">
        <w:rPr>
          <w:rFonts w:ascii="Arial" w:hAnsi="Arial" w:cs="Arial"/>
          <w:sz w:val="20"/>
          <w:szCs w:val="20"/>
        </w:rPr>
        <w:t>states</w:t>
      </w:r>
      <w:r w:rsidR="00D921FC" w:rsidRPr="00A2114C">
        <w:rPr>
          <w:rFonts w:ascii="Arial" w:hAnsi="Arial" w:cs="Arial"/>
          <w:sz w:val="20"/>
          <w:szCs w:val="20"/>
        </w:rPr>
        <w:t xml:space="preserve"> an amount to pay for </w:t>
      </w:r>
      <w:r w:rsidR="0092590E" w:rsidRPr="00A2114C">
        <w:rPr>
          <w:rFonts w:ascii="Arial" w:hAnsi="Arial" w:cs="Arial"/>
          <w:sz w:val="20"/>
          <w:szCs w:val="20"/>
        </w:rPr>
        <w:t>utilities</w:t>
      </w:r>
      <w:r w:rsidR="00D921FC" w:rsidRPr="00A2114C">
        <w:rPr>
          <w:rFonts w:ascii="Arial" w:hAnsi="Arial" w:cs="Arial"/>
          <w:sz w:val="20"/>
          <w:szCs w:val="20"/>
        </w:rPr>
        <w:t xml:space="preserve"> (under </w:t>
      </w:r>
      <w:r w:rsidR="00A10C0F" w:rsidRPr="00A2114C">
        <w:rPr>
          <w:rFonts w:ascii="Arial" w:hAnsi="Arial" w:cs="Arial"/>
          <w:sz w:val="20"/>
          <w:szCs w:val="20"/>
        </w:rPr>
        <w:t>Item 12 and 14</w:t>
      </w:r>
      <w:r w:rsidR="00D921FC" w:rsidRPr="00A2114C">
        <w:rPr>
          <w:rFonts w:ascii="Arial" w:hAnsi="Arial" w:cs="Arial"/>
          <w:sz w:val="20"/>
          <w:szCs w:val="20"/>
        </w:rPr>
        <w:t>). Currently it stipulates</w:t>
      </w:r>
      <w:r w:rsidR="0092590E" w:rsidRPr="00A2114C">
        <w:rPr>
          <w:rFonts w:ascii="Arial" w:hAnsi="Arial" w:cs="Arial"/>
          <w:sz w:val="20"/>
          <w:szCs w:val="20"/>
        </w:rPr>
        <w:t xml:space="preserve"> $22.50 per week towards </w:t>
      </w:r>
      <w:r w:rsidR="00D20A15" w:rsidRPr="00A2114C">
        <w:rPr>
          <w:rFonts w:ascii="Arial" w:hAnsi="Arial" w:cs="Arial"/>
          <w:sz w:val="20"/>
          <w:szCs w:val="20"/>
        </w:rPr>
        <w:t>e</w:t>
      </w:r>
      <w:r w:rsidR="001C597D" w:rsidRPr="00A2114C">
        <w:rPr>
          <w:rFonts w:ascii="Arial" w:hAnsi="Arial" w:cs="Arial"/>
          <w:sz w:val="20"/>
          <w:szCs w:val="20"/>
        </w:rPr>
        <w:t>lectricity</w:t>
      </w:r>
      <w:r w:rsidR="0092590E" w:rsidRPr="00A2114C">
        <w:rPr>
          <w:rFonts w:ascii="Arial" w:hAnsi="Arial" w:cs="Arial"/>
          <w:sz w:val="20"/>
          <w:szCs w:val="20"/>
        </w:rPr>
        <w:t xml:space="preserve"> and $2.50 per week towards</w:t>
      </w:r>
      <w:r w:rsidR="001C597D" w:rsidRPr="00A2114C">
        <w:rPr>
          <w:rFonts w:ascii="Arial" w:hAnsi="Arial" w:cs="Arial"/>
          <w:sz w:val="20"/>
          <w:szCs w:val="20"/>
        </w:rPr>
        <w:t xml:space="preserve"> </w:t>
      </w:r>
      <w:r w:rsidR="00D20A15" w:rsidRPr="00A2114C">
        <w:rPr>
          <w:rFonts w:ascii="Arial" w:hAnsi="Arial" w:cs="Arial"/>
          <w:sz w:val="20"/>
          <w:szCs w:val="20"/>
        </w:rPr>
        <w:t>w</w:t>
      </w:r>
      <w:r w:rsidR="001C597D" w:rsidRPr="00A2114C">
        <w:rPr>
          <w:rFonts w:ascii="Arial" w:hAnsi="Arial" w:cs="Arial"/>
          <w:sz w:val="20"/>
          <w:szCs w:val="20"/>
        </w:rPr>
        <w:t>ater.</w:t>
      </w:r>
      <w:r w:rsidR="00D95BA7" w:rsidRPr="00A2114C">
        <w:rPr>
          <w:rFonts w:ascii="Arial" w:hAnsi="Arial" w:cs="Arial"/>
          <w:sz w:val="20"/>
          <w:szCs w:val="20"/>
        </w:rPr>
        <w:t xml:space="preserve"> </w:t>
      </w:r>
      <w:r w:rsidR="0040732F" w:rsidRPr="00A2114C">
        <w:rPr>
          <w:rFonts w:ascii="Arial" w:hAnsi="Arial" w:cs="Arial"/>
          <w:sz w:val="20"/>
          <w:szCs w:val="20"/>
        </w:rPr>
        <w:t xml:space="preserve">This amount is an </w:t>
      </w:r>
      <w:r w:rsidR="00D95BA7" w:rsidRPr="00A2114C">
        <w:rPr>
          <w:rFonts w:ascii="Arial" w:hAnsi="Arial" w:cs="Arial"/>
          <w:sz w:val="20"/>
          <w:szCs w:val="20"/>
        </w:rPr>
        <w:t xml:space="preserve">estimate </w:t>
      </w:r>
      <w:r w:rsidR="0040732F" w:rsidRPr="00A2114C">
        <w:rPr>
          <w:rFonts w:ascii="Arial" w:hAnsi="Arial" w:cs="Arial"/>
          <w:sz w:val="20"/>
          <w:szCs w:val="20"/>
        </w:rPr>
        <w:t xml:space="preserve">of how much we expect you might need to pay for your utilities </w:t>
      </w:r>
      <w:r w:rsidR="00D95BA7" w:rsidRPr="00A2114C">
        <w:rPr>
          <w:rFonts w:ascii="Arial" w:hAnsi="Arial" w:cs="Arial"/>
          <w:sz w:val="20"/>
          <w:szCs w:val="20"/>
        </w:rPr>
        <w:t xml:space="preserve">based on average electricity and water usage. </w:t>
      </w:r>
    </w:p>
    <w:p w14:paraId="71620D50" w14:textId="000A095A" w:rsidR="001C597D" w:rsidRPr="00A2114C" w:rsidRDefault="006D764E" w:rsidP="00811320">
      <w:pPr>
        <w:pStyle w:val="Heading1"/>
        <w:spacing w:after="120"/>
        <w:rPr>
          <w:sz w:val="20"/>
          <w:szCs w:val="20"/>
        </w:rPr>
      </w:pPr>
      <w:r w:rsidRPr="00A2114C">
        <w:rPr>
          <w:sz w:val="20"/>
          <w:szCs w:val="20"/>
        </w:rPr>
        <w:t>I</w:t>
      </w:r>
      <w:r w:rsidR="001C597D" w:rsidRPr="00A2114C">
        <w:rPr>
          <w:sz w:val="20"/>
          <w:szCs w:val="20"/>
        </w:rPr>
        <w:t>s that how much it costs?</w:t>
      </w:r>
    </w:p>
    <w:p w14:paraId="6B711175" w14:textId="6E0C3026" w:rsidR="00CB3DFE" w:rsidRPr="00A2114C" w:rsidRDefault="001C597D" w:rsidP="006D764E">
      <w:pPr>
        <w:spacing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 xml:space="preserve">No, each unit is individually </w:t>
      </w:r>
      <w:r w:rsidR="006B4175" w:rsidRPr="00A2114C">
        <w:rPr>
          <w:rFonts w:ascii="Arial" w:hAnsi="Arial" w:cs="Arial"/>
          <w:sz w:val="20"/>
          <w:szCs w:val="20"/>
        </w:rPr>
        <w:t xml:space="preserve">metred for electricity and water. </w:t>
      </w:r>
      <w:r w:rsidR="000C75D4" w:rsidRPr="00A2114C">
        <w:rPr>
          <w:rFonts w:ascii="Arial" w:hAnsi="Arial" w:cs="Arial"/>
          <w:sz w:val="20"/>
          <w:szCs w:val="20"/>
        </w:rPr>
        <w:t>These bills arrive quarterly, and the charges are taken from</w:t>
      </w:r>
      <w:r w:rsidR="0059266C" w:rsidRPr="00A2114C">
        <w:rPr>
          <w:rFonts w:ascii="Arial" w:hAnsi="Arial" w:cs="Arial"/>
          <w:sz w:val="20"/>
          <w:szCs w:val="20"/>
        </w:rPr>
        <w:t xml:space="preserve"> the money paid by </w:t>
      </w:r>
      <w:r w:rsidR="00E941F7" w:rsidRPr="00A2114C">
        <w:rPr>
          <w:rFonts w:ascii="Arial" w:hAnsi="Arial" w:cs="Arial"/>
          <w:sz w:val="20"/>
          <w:szCs w:val="20"/>
        </w:rPr>
        <w:t xml:space="preserve">you </w:t>
      </w:r>
      <w:r w:rsidR="0059266C" w:rsidRPr="00A2114C">
        <w:rPr>
          <w:rFonts w:ascii="Arial" w:hAnsi="Arial" w:cs="Arial"/>
          <w:sz w:val="20"/>
          <w:szCs w:val="20"/>
        </w:rPr>
        <w:t>on an individual basis</w:t>
      </w:r>
      <w:r w:rsidR="003F050F" w:rsidRPr="00A2114C">
        <w:rPr>
          <w:rFonts w:ascii="Arial" w:hAnsi="Arial" w:cs="Arial"/>
          <w:sz w:val="20"/>
          <w:szCs w:val="20"/>
        </w:rPr>
        <w:t xml:space="preserve">. Every six months, we refund the amount of money </w:t>
      </w:r>
      <w:r w:rsidR="006E51BF" w:rsidRPr="00A2114C">
        <w:rPr>
          <w:rFonts w:ascii="Arial" w:hAnsi="Arial" w:cs="Arial"/>
          <w:sz w:val="20"/>
          <w:szCs w:val="20"/>
        </w:rPr>
        <w:t xml:space="preserve">that you </w:t>
      </w:r>
      <w:r w:rsidR="003F050F" w:rsidRPr="00A2114C">
        <w:rPr>
          <w:rFonts w:ascii="Arial" w:hAnsi="Arial" w:cs="Arial"/>
          <w:sz w:val="20"/>
          <w:szCs w:val="20"/>
        </w:rPr>
        <w:t>have left over once the bills have been paid.</w:t>
      </w:r>
    </w:p>
    <w:p w14:paraId="66ADAACE" w14:textId="081B8DAD" w:rsidR="001C597D" w:rsidRPr="00A2114C" w:rsidRDefault="00CB3DFE" w:rsidP="00811320">
      <w:pPr>
        <w:pStyle w:val="Heading1"/>
        <w:spacing w:after="120"/>
        <w:rPr>
          <w:sz w:val="20"/>
          <w:szCs w:val="20"/>
        </w:rPr>
      </w:pPr>
      <w:r w:rsidRPr="00A2114C">
        <w:rPr>
          <w:sz w:val="20"/>
          <w:szCs w:val="20"/>
        </w:rPr>
        <w:t>Why didn’t I get a refund last time?</w:t>
      </w:r>
    </w:p>
    <w:p w14:paraId="04C89A89" w14:textId="18624D93" w:rsidR="00A44A45" w:rsidRPr="00A2114C" w:rsidRDefault="006E51BF" w:rsidP="006D764E">
      <w:pPr>
        <w:spacing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 xml:space="preserve">If your </w:t>
      </w:r>
      <w:r w:rsidR="00320C74" w:rsidRPr="00A2114C">
        <w:rPr>
          <w:rFonts w:ascii="Arial" w:hAnsi="Arial" w:cs="Arial"/>
          <w:sz w:val="20"/>
          <w:szCs w:val="20"/>
        </w:rPr>
        <w:t xml:space="preserve">electricity and water </w:t>
      </w:r>
      <w:r w:rsidR="006B46F5" w:rsidRPr="00A2114C">
        <w:rPr>
          <w:rFonts w:ascii="Arial" w:hAnsi="Arial" w:cs="Arial"/>
          <w:sz w:val="20"/>
          <w:szCs w:val="20"/>
        </w:rPr>
        <w:t>usage</w:t>
      </w:r>
      <w:r w:rsidRPr="00A2114C">
        <w:rPr>
          <w:rFonts w:ascii="Arial" w:hAnsi="Arial" w:cs="Arial"/>
          <w:sz w:val="20"/>
          <w:szCs w:val="20"/>
        </w:rPr>
        <w:t xml:space="preserve"> is more than</w:t>
      </w:r>
      <w:r w:rsidR="006E61EB" w:rsidRPr="00A2114C">
        <w:rPr>
          <w:rFonts w:ascii="Arial" w:hAnsi="Arial" w:cs="Arial"/>
          <w:sz w:val="20"/>
          <w:szCs w:val="20"/>
        </w:rPr>
        <w:t xml:space="preserve"> the amount you have</w:t>
      </w:r>
      <w:r w:rsidR="00A44A45" w:rsidRPr="00A2114C">
        <w:rPr>
          <w:rFonts w:ascii="Arial" w:hAnsi="Arial" w:cs="Arial"/>
          <w:sz w:val="20"/>
          <w:szCs w:val="20"/>
        </w:rPr>
        <w:t xml:space="preserve"> paid towards utilities</w:t>
      </w:r>
      <w:r w:rsidR="006E61EB" w:rsidRPr="00A2114C">
        <w:rPr>
          <w:rFonts w:ascii="Arial" w:hAnsi="Arial" w:cs="Arial"/>
          <w:sz w:val="20"/>
          <w:szCs w:val="20"/>
        </w:rPr>
        <w:t xml:space="preserve">, </w:t>
      </w:r>
      <w:r w:rsidR="00093543" w:rsidRPr="00A2114C">
        <w:rPr>
          <w:rFonts w:ascii="Arial" w:hAnsi="Arial" w:cs="Arial"/>
          <w:sz w:val="20"/>
          <w:szCs w:val="20"/>
        </w:rPr>
        <w:t xml:space="preserve">you won’t receive a refund, </w:t>
      </w:r>
      <w:r w:rsidR="006E61EB" w:rsidRPr="00A2114C">
        <w:rPr>
          <w:rFonts w:ascii="Arial" w:hAnsi="Arial" w:cs="Arial"/>
          <w:sz w:val="20"/>
          <w:szCs w:val="20"/>
        </w:rPr>
        <w:t>you</w:t>
      </w:r>
      <w:r w:rsidR="00A44A45" w:rsidRPr="00A2114C">
        <w:rPr>
          <w:rFonts w:ascii="Arial" w:hAnsi="Arial" w:cs="Arial"/>
          <w:sz w:val="20"/>
          <w:szCs w:val="20"/>
        </w:rPr>
        <w:t xml:space="preserve"> </w:t>
      </w:r>
      <w:r w:rsidR="005F026D" w:rsidRPr="00A2114C">
        <w:rPr>
          <w:rFonts w:ascii="Arial" w:hAnsi="Arial" w:cs="Arial"/>
          <w:sz w:val="20"/>
          <w:szCs w:val="20"/>
        </w:rPr>
        <w:t xml:space="preserve">will receive </w:t>
      </w:r>
      <w:r w:rsidR="00A44A45" w:rsidRPr="00A2114C">
        <w:rPr>
          <w:rFonts w:ascii="Arial" w:hAnsi="Arial" w:cs="Arial"/>
          <w:sz w:val="20"/>
          <w:szCs w:val="20"/>
        </w:rPr>
        <w:t>a bill</w:t>
      </w:r>
      <w:r w:rsidR="008069B0" w:rsidRPr="00A2114C">
        <w:rPr>
          <w:rFonts w:ascii="Arial" w:hAnsi="Arial" w:cs="Arial"/>
          <w:sz w:val="20"/>
          <w:szCs w:val="20"/>
        </w:rPr>
        <w:t>.</w:t>
      </w:r>
      <w:r w:rsidR="008C7F02" w:rsidRPr="00A2114C">
        <w:rPr>
          <w:rFonts w:ascii="Arial" w:hAnsi="Arial" w:cs="Arial"/>
          <w:sz w:val="20"/>
          <w:szCs w:val="20"/>
        </w:rPr>
        <w:t xml:space="preserve"> </w:t>
      </w:r>
    </w:p>
    <w:p w14:paraId="19C21AF0" w14:textId="58A3BFB8" w:rsidR="00E556FC" w:rsidRPr="00A2114C" w:rsidRDefault="00E556FC" w:rsidP="00811320">
      <w:pPr>
        <w:pStyle w:val="Heading1"/>
        <w:spacing w:after="120"/>
        <w:rPr>
          <w:sz w:val="20"/>
          <w:szCs w:val="20"/>
        </w:rPr>
      </w:pPr>
      <w:r w:rsidRPr="00A2114C">
        <w:rPr>
          <w:sz w:val="20"/>
          <w:szCs w:val="20"/>
        </w:rPr>
        <w:t>Sounds pretty straightforward, doesn’t it?</w:t>
      </w:r>
    </w:p>
    <w:p w14:paraId="4690352A" w14:textId="2AEA0782" w:rsidR="00E556FC" w:rsidRPr="00A2114C" w:rsidRDefault="00E556FC" w:rsidP="006D764E">
      <w:pPr>
        <w:spacing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>Well, not reall</w:t>
      </w:r>
      <w:r w:rsidR="006D764E" w:rsidRPr="00A2114C">
        <w:rPr>
          <w:rFonts w:ascii="Arial" w:hAnsi="Arial" w:cs="Arial"/>
          <w:sz w:val="20"/>
          <w:szCs w:val="20"/>
        </w:rPr>
        <w:t>y. S</w:t>
      </w:r>
      <w:r w:rsidR="00E44B70" w:rsidRPr="00A2114C">
        <w:rPr>
          <w:rFonts w:ascii="Arial" w:hAnsi="Arial" w:cs="Arial"/>
          <w:sz w:val="20"/>
          <w:szCs w:val="20"/>
        </w:rPr>
        <w:t xml:space="preserve">ome tenants with healthcare cards are entitled to rebates or credits </w:t>
      </w:r>
      <w:r w:rsidR="00C7722E" w:rsidRPr="00A2114C">
        <w:rPr>
          <w:rFonts w:ascii="Arial" w:hAnsi="Arial" w:cs="Arial"/>
          <w:sz w:val="20"/>
          <w:szCs w:val="20"/>
        </w:rPr>
        <w:t>from the state government, which means</w:t>
      </w:r>
      <w:r w:rsidRPr="00A2114C">
        <w:rPr>
          <w:rFonts w:ascii="Arial" w:hAnsi="Arial" w:cs="Arial"/>
          <w:sz w:val="20"/>
          <w:szCs w:val="20"/>
        </w:rPr>
        <w:t xml:space="preserve"> </w:t>
      </w:r>
      <w:r w:rsidR="0040732F" w:rsidRPr="00A2114C">
        <w:rPr>
          <w:rFonts w:ascii="Arial" w:hAnsi="Arial" w:cs="Arial"/>
          <w:sz w:val="20"/>
          <w:szCs w:val="20"/>
        </w:rPr>
        <w:t xml:space="preserve">we </w:t>
      </w:r>
      <w:r w:rsidRPr="00A2114C">
        <w:rPr>
          <w:rFonts w:ascii="Arial" w:hAnsi="Arial" w:cs="Arial"/>
          <w:sz w:val="20"/>
          <w:szCs w:val="20"/>
        </w:rPr>
        <w:t xml:space="preserve">have to manually work out </w:t>
      </w:r>
      <w:r w:rsidR="00C7722E" w:rsidRPr="00A2114C">
        <w:rPr>
          <w:rFonts w:ascii="Arial" w:hAnsi="Arial" w:cs="Arial"/>
          <w:sz w:val="20"/>
          <w:szCs w:val="20"/>
        </w:rPr>
        <w:t>each tenant</w:t>
      </w:r>
      <w:r w:rsidR="00C07695" w:rsidRPr="00A2114C">
        <w:rPr>
          <w:rFonts w:ascii="Arial" w:hAnsi="Arial" w:cs="Arial"/>
          <w:sz w:val="20"/>
          <w:szCs w:val="20"/>
        </w:rPr>
        <w:t>’</w:t>
      </w:r>
      <w:r w:rsidR="00C7722E" w:rsidRPr="00A2114C">
        <w:rPr>
          <w:rFonts w:ascii="Arial" w:hAnsi="Arial" w:cs="Arial"/>
          <w:sz w:val="20"/>
          <w:szCs w:val="20"/>
        </w:rPr>
        <w:t>s bill individually</w:t>
      </w:r>
      <w:r w:rsidR="00FB4721" w:rsidRPr="00A2114C">
        <w:rPr>
          <w:rFonts w:ascii="Arial" w:hAnsi="Arial" w:cs="Arial"/>
          <w:sz w:val="20"/>
          <w:szCs w:val="20"/>
        </w:rPr>
        <w:t xml:space="preserve">. </w:t>
      </w:r>
    </w:p>
    <w:p w14:paraId="0FE8882D" w14:textId="75650154" w:rsidR="006D764E" w:rsidRPr="00A2114C" w:rsidRDefault="00BA3468" w:rsidP="006D764E">
      <w:pPr>
        <w:spacing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>If you moved in or out of your u</w:t>
      </w:r>
      <w:r w:rsidR="00E556FC" w:rsidRPr="00A2114C">
        <w:rPr>
          <w:rFonts w:ascii="Arial" w:hAnsi="Arial" w:cs="Arial"/>
          <w:sz w:val="20"/>
          <w:szCs w:val="20"/>
        </w:rPr>
        <w:t xml:space="preserve">nit </w:t>
      </w:r>
      <w:r w:rsidRPr="00A2114C">
        <w:rPr>
          <w:rFonts w:ascii="Arial" w:hAnsi="Arial" w:cs="Arial"/>
          <w:sz w:val="20"/>
          <w:szCs w:val="20"/>
        </w:rPr>
        <w:t xml:space="preserve">recently </w:t>
      </w:r>
      <w:r w:rsidR="00E556FC" w:rsidRPr="00A2114C">
        <w:rPr>
          <w:rFonts w:ascii="Arial" w:hAnsi="Arial" w:cs="Arial"/>
          <w:sz w:val="20"/>
          <w:szCs w:val="20"/>
        </w:rPr>
        <w:t xml:space="preserve">a pro-rata charge </w:t>
      </w:r>
      <w:r w:rsidRPr="00A2114C">
        <w:rPr>
          <w:rFonts w:ascii="Arial" w:hAnsi="Arial" w:cs="Arial"/>
          <w:sz w:val="20"/>
          <w:szCs w:val="20"/>
        </w:rPr>
        <w:t xml:space="preserve">may need to be </w:t>
      </w:r>
      <w:r w:rsidR="00E556FC" w:rsidRPr="00A2114C">
        <w:rPr>
          <w:rFonts w:ascii="Arial" w:hAnsi="Arial" w:cs="Arial"/>
          <w:sz w:val="20"/>
          <w:szCs w:val="20"/>
        </w:rPr>
        <w:t>applied</w:t>
      </w:r>
      <w:r w:rsidR="00ED7981" w:rsidRPr="00A2114C">
        <w:rPr>
          <w:rFonts w:ascii="Arial" w:hAnsi="Arial" w:cs="Arial"/>
          <w:sz w:val="20"/>
          <w:szCs w:val="20"/>
        </w:rPr>
        <w:t xml:space="preserve"> and</w:t>
      </w:r>
      <w:r w:rsidR="00E556FC" w:rsidRPr="00A2114C">
        <w:rPr>
          <w:rFonts w:ascii="Arial" w:hAnsi="Arial" w:cs="Arial"/>
          <w:sz w:val="20"/>
          <w:szCs w:val="20"/>
        </w:rPr>
        <w:t xml:space="preserve"> </w:t>
      </w:r>
      <w:r w:rsidR="0040732F" w:rsidRPr="00A2114C">
        <w:rPr>
          <w:rFonts w:ascii="Arial" w:hAnsi="Arial" w:cs="Arial"/>
          <w:sz w:val="20"/>
          <w:szCs w:val="20"/>
        </w:rPr>
        <w:t>Common Ground Queensland</w:t>
      </w:r>
      <w:r w:rsidR="00E556FC" w:rsidRPr="00A2114C">
        <w:rPr>
          <w:rFonts w:ascii="Arial" w:hAnsi="Arial" w:cs="Arial"/>
          <w:sz w:val="20"/>
          <w:szCs w:val="20"/>
        </w:rPr>
        <w:t xml:space="preserve"> must manually work this out.</w:t>
      </w:r>
    </w:p>
    <w:p w14:paraId="5BA11D87" w14:textId="3C652927" w:rsidR="00C756EB" w:rsidRPr="00A2114C" w:rsidRDefault="00936C64" w:rsidP="00811320">
      <w:pPr>
        <w:pStyle w:val="Heading1"/>
        <w:spacing w:after="120"/>
        <w:rPr>
          <w:sz w:val="20"/>
          <w:szCs w:val="20"/>
        </w:rPr>
      </w:pPr>
      <w:r w:rsidRPr="00A2114C">
        <w:rPr>
          <w:sz w:val="20"/>
          <w:szCs w:val="20"/>
        </w:rPr>
        <w:t>Where do the bills come from?</w:t>
      </w:r>
    </w:p>
    <w:p w14:paraId="4ECD9548" w14:textId="3D4D4440" w:rsidR="00BB77E2" w:rsidRPr="00A2114C" w:rsidRDefault="00C67936" w:rsidP="00811320">
      <w:pPr>
        <w:spacing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 xml:space="preserve">We have a contract with Origin to supply bulk electricity until </w:t>
      </w:r>
      <w:r w:rsidR="00E661EE" w:rsidRPr="00A2114C">
        <w:rPr>
          <w:rFonts w:ascii="Arial" w:hAnsi="Arial" w:cs="Arial"/>
          <w:sz w:val="20"/>
          <w:szCs w:val="20"/>
        </w:rPr>
        <w:t>mid-2024</w:t>
      </w:r>
      <w:r w:rsidR="00D504E5" w:rsidRPr="00A2114C">
        <w:rPr>
          <w:rFonts w:ascii="Arial" w:hAnsi="Arial" w:cs="Arial"/>
          <w:sz w:val="20"/>
          <w:szCs w:val="20"/>
        </w:rPr>
        <w:t>. There is a bulk discount applied to this deal. Water bills arrive from the owner of the building, the Queensland State Department of Housing.</w:t>
      </w:r>
    </w:p>
    <w:p w14:paraId="50822A83" w14:textId="75C983AE" w:rsidR="0013306E" w:rsidRPr="00A2114C" w:rsidRDefault="0013306E" w:rsidP="00811320">
      <w:pPr>
        <w:pStyle w:val="Heading1"/>
        <w:spacing w:after="120"/>
        <w:rPr>
          <w:sz w:val="20"/>
          <w:szCs w:val="20"/>
        </w:rPr>
      </w:pPr>
      <w:r w:rsidRPr="00A2114C">
        <w:rPr>
          <w:sz w:val="20"/>
          <w:szCs w:val="20"/>
        </w:rPr>
        <w:t xml:space="preserve">Why don’t tenants </w:t>
      </w:r>
      <w:r w:rsidR="0052023A" w:rsidRPr="00A2114C">
        <w:rPr>
          <w:sz w:val="20"/>
          <w:szCs w:val="20"/>
        </w:rPr>
        <w:t xml:space="preserve">just </w:t>
      </w:r>
      <w:r w:rsidR="00332FC4" w:rsidRPr="00A2114C">
        <w:rPr>
          <w:sz w:val="20"/>
          <w:szCs w:val="20"/>
        </w:rPr>
        <w:t xml:space="preserve">look after </w:t>
      </w:r>
      <w:r w:rsidRPr="00A2114C">
        <w:rPr>
          <w:sz w:val="20"/>
          <w:szCs w:val="20"/>
        </w:rPr>
        <w:t>their own electricity</w:t>
      </w:r>
      <w:r w:rsidR="008252FC" w:rsidRPr="00A2114C">
        <w:rPr>
          <w:sz w:val="20"/>
          <w:szCs w:val="20"/>
        </w:rPr>
        <w:t>?</w:t>
      </w:r>
    </w:p>
    <w:p w14:paraId="18B4EDAA" w14:textId="443E0EA4" w:rsidR="00467D5A" w:rsidRPr="00A2114C" w:rsidRDefault="00B75360" w:rsidP="006D764E">
      <w:pPr>
        <w:spacing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 xml:space="preserve">Common Ground Queensland </w:t>
      </w:r>
      <w:r w:rsidR="00544615" w:rsidRPr="00A2114C">
        <w:rPr>
          <w:rFonts w:ascii="Arial" w:hAnsi="Arial" w:cs="Arial"/>
          <w:sz w:val="20"/>
          <w:szCs w:val="20"/>
        </w:rPr>
        <w:t>offers</w:t>
      </w:r>
      <w:r w:rsidRPr="00A2114C">
        <w:rPr>
          <w:rFonts w:ascii="Arial" w:hAnsi="Arial" w:cs="Arial"/>
          <w:sz w:val="20"/>
          <w:szCs w:val="20"/>
        </w:rPr>
        <w:t xml:space="preserve"> this </w:t>
      </w:r>
      <w:r w:rsidR="00DC6FA0" w:rsidRPr="00A2114C">
        <w:rPr>
          <w:rFonts w:ascii="Arial" w:hAnsi="Arial" w:cs="Arial"/>
          <w:sz w:val="20"/>
          <w:szCs w:val="20"/>
        </w:rPr>
        <w:t xml:space="preserve">utilities billing </w:t>
      </w:r>
      <w:r w:rsidRPr="00A2114C">
        <w:rPr>
          <w:rFonts w:ascii="Arial" w:hAnsi="Arial" w:cs="Arial"/>
          <w:sz w:val="20"/>
          <w:szCs w:val="20"/>
        </w:rPr>
        <w:t xml:space="preserve">service to all tenants </w:t>
      </w:r>
      <w:r w:rsidR="00467D5A" w:rsidRPr="00A2114C">
        <w:rPr>
          <w:rFonts w:ascii="Arial" w:hAnsi="Arial" w:cs="Arial"/>
          <w:sz w:val="20"/>
          <w:szCs w:val="20"/>
        </w:rPr>
        <w:t>to</w:t>
      </w:r>
      <w:r w:rsidR="00D518AB" w:rsidRPr="00A2114C">
        <w:rPr>
          <w:rFonts w:ascii="Arial" w:hAnsi="Arial" w:cs="Arial"/>
          <w:sz w:val="20"/>
          <w:szCs w:val="20"/>
        </w:rPr>
        <w:t xml:space="preserve"> </w:t>
      </w:r>
      <w:r w:rsidR="000B3539" w:rsidRPr="00A2114C">
        <w:rPr>
          <w:rFonts w:ascii="Arial" w:hAnsi="Arial" w:cs="Arial"/>
          <w:sz w:val="20"/>
          <w:szCs w:val="20"/>
        </w:rPr>
        <w:t xml:space="preserve">assist in </w:t>
      </w:r>
      <w:r w:rsidR="00D518AB" w:rsidRPr="00A2114C">
        <w:rPr>
          <w:rFonts w:ascii="Arial" w:hAnsi="Arial" w:cs="Arial"/>
          <w:sz w:val="20"/>
          <w:szCs w:val="20"/>
        </w:rPr>
        <w:t>manag</w:t>
      </w:r>
      <w:r w:rsidR="000B3539" w:rsidRPr="00A2114C">
        <w:rPr>
          <w:rFonts w:ascii="Arial" w:hAnsi="Arial" w:cs="Arial"/>
          <w:sz w:val="20"/>
          <w:szCs w:val="20"/>
        </w:rPr>
        <w:t>ing</w:t>
      </w:r>
      <w:r w:rsidR="004E4B44" w:rsidRPr="00A2114C">
        <w:rPr>
          <w:rFonts w:ascii="Arial" w:hAnsi="Arial" w:cs="Arial"/>
          <w:sz w:val="20"/>
          <w:szCs w:val="20"/>
        </w:rPr>
        <w:t xml:space="preserve"> your</w:t>
      </w:r>
      <w:r w:rsidR="001B1F6D" w:rsidRPr="00A2114C">
        <w:rPr>
          <w:rFonts w:ascii="Arial" w:hAnsi="Arial" w:cs="Arial"/>
          <w:sz w:val="20"/>
          <w:szCs w:val="20"/>
        </w:rPr>
        <w:t xml:space="preserve"> bills. </w:t>
      </w:r>
      <w:r w:rsidR="00864B22" w:rsidRPr="00A2114C">
        <w:rPr>
          <w:rFonts w:ascii="Arial" w:hAnsi="Arial" w:cs="Arial"/>
          <w:sz w:val="20"/>
          <w:szCs w:val="20"/>
        </w:rPr>
        <w:t>If you receive a Centrelink payment, y</w:t>
      </w:r>
      <w:r w:rsidR="00586C1E" w:rsidRPr="00A2114C">
        <w:rPr>
          <w:rFonts w:ascii="Arial" w:hAnsi="Arial" w:cs="Arial"/>
          <w:sz w:val="20"/>
          <w:szCs w:val="20"/>
        </w:rPr>
        <w:t>ou</w:t>
      </w:r>
      <w:r w:rsidR="00582B8C" w:rsidRPr="00A2114C">
        <w:rPr>
          <w:rFonts w:ascii="Arial" w:hAnsi="Arial" w:cs="Arial"/>
          <w:sz w:val="20"/>
          <w:szCs w:val="20"/>
        </w:rPr>
        <w:t xml:space="preserve"> </w:t>
      </w:r>
      <w:r w:rsidR="00261E34" w:rsidRPr="00A2114C">
        <w:rPr>
          <w:rFonts w:ascii="Arial" w:hAnsi="Arial" w:cs="Arial"/>
          <w:sz w:val="20"/>
          <w:szCs w:val="20"/>
        </w:rPr>
        <w:t>can arrange</w:t>
      </w:r>
      <w:r w:rsidR="00946C83" w:rsidRPr="00A2114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46C83" w:rsidRPr="00A2114C">
        <w:rPr>
          <w:rFonts w:ascii="Arial" w:hAnsi="Arial" w:cs="Arial"/>
          <w:sz w:val="20"/>
          <w:szCs w:val="20"/>
        </w:rPr>
        <w:t>Centrepay</w:t>
      </w:r>
      <w:proofErr w:type="spellEnd"/>
      <w:r w:rsidR="00946C83" w:rsidRPr="00A2114C">
        <w:rPr>
          <w:rFonts w:ascii="Arial" w:hAnsi="Arial" w:cs="Arial"/>
          <w:sz w:val="20"/>
          <w:szCs w:val="20"/>
        </w:rPr>
        <w:t xml:space="preserve"> Deduction to cover </w:t>
      </w:r>
      <w:r w:rsidR="00DC6FA0" w:rsidRPr="00A2114C">
        <w:rPr>
          <w:rFonts w:ascii="Arial" w:hAnsi="Arial" w:cs="Arial"/>
          <w:sz w:val="20"/>
          <w:szCs w:val="20"/>
        </w:rPr>
        <w:t xml:space="preserve">your </w:t>
      </w:r>
      <w:r w:rsidR="00946C83" w:rsidRPr="00A2114C">
        <w:rPr>
          <w:rFonts w:ascii="Arial" w:hAnsi="Arial" w:cs="Arial"/>
          <w:sz w:val="20"/>
          <w:szCs w:val="20"/>
        </w:rPr>
        <w:t>future bills</w:t>
      </w:r>
      <w:r w:rsidR="00BB104E" w:rsidRPr="00A2114C">
        <w:rPr>
          <w:rFonts w:ascii="Arial" w:hAnsi="Arial" w:cs="Arial"/>
          <w:sz w:val="20"/>
          <w:szCs w:val="20"/>
        </w:rPr>
        <w:t xml:space="preserve">, and we </w:t>
      </w:r>
      <w:r w:rsidR="00D930EF" w:rsidRPr="00A2114C">
        <w:rPr>
          <w:rFonts w:ascii="Arial" w:hAnsi="Arial" w:cs="Arial"/>
          <w:sz w:val="20"/>
          <w:szCs w:val="20"/>
        </w:rPr>
        <w:t xml:space="preserve">can arrange support for you if you would like to set this up. </w:t>
      </w:r>
    </w:p>
    <w:p w14:paraId="2C761299" w14:textId="4EDF66D3" w:rsidR="00AF050F" w:rsidRPr="00A2114C" w:rsidRDefault="00301173" w:rsidP="006D764E">
      <w:pPr>
        <w:spacing w:line="360" w:lineRule="auto"/>
        <w:rPr>
          <w:rFonts w:ascii="Arial" w:hAnsi="Arial" w:cs="Arial"/>
          <w:sz w:val="20"/>
          <w:szCs w:val="20"/>
        </w:rPr>
      </w:pPr>
      <w:r w:rsidRPr="00A2114C">
        <w:rPr>
          <w:rFonts w:ascii="Arial" w:hAnsi="Arial" w:cs="Arial"/>
          <w:sz w:val="20"/>
          <w:szCs w:val="20"/>
        </w:rPr>
        <w:t xml:space="preserve">There is nothing to stop you doing your own research about deals and sourcing </w:t>
      </w:r>
      <w:r w:rsidR="00A709A9" w:rsidRPr="00A2114C">
        <w:rPr>
          <w:rFonts w:ascii="Arial" w:hAnsi="Arial" w:cs="Arial"/>
          <w:sz w:val="20"/>
          <w:szCs w:val="20"/>
        </w:rPr>
        <w:t>your</w:t>
      </w:r>
      <w:r w:rsidRPr="00A2114C">
        <w:rPr>
          <w:rFonts w:ascii="Arial" w:hAnsi="Arial" w:cs="Arial"/>
          <w:sz w:val="20"/>
          <w:szCs w:val="20"/>
        </w:rPr>
        <w:t xml:space="preserve"> own electricity supplier. After all, each unit is individually metred.</w:t>
      </w:r>
      <w:r w:rsidR="00484BF4" w:rsidRPr="00A2114C">
        <w:rPr>
          <w:rFonts w:ascii="Arial" w:hAnsi="Arial" w:cs="Arial"/>
          <w:sz w:val="20"/>
          <w:szCs w:val="20"/>
        </w:rPr>
        <w:t xml:space="preserve"> </w:t>
      </w:r>
    </w:p>
    <w:sectPr w:rsidR="00AF050F" w:rsidRPr="00A211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B1FF" w14:textId="77777777" w:rsidR="00F64F82" w:rsidRDefault="00F64F82" w:rsidP="006D764E">
      <w:pPr>
        <w:spacing w:after="0" w:line="240" w:lineRule="auto"/>
      </w:pPr>
      <w:r>
        <w:separator/>
      </w:r>
    </w:p>
  </w:endnote>
  <w:endnote w:type="continuationSeparator" w:id="0">
    <w:p w14:paraId="61CFB9D0" w14:textId="77777777" w:rsidR="00F64F82" w:rsidRDefault="00F64F82" w:rsidP="006D764E">
      <w:pPr>
        <w:spacing w:after="0" w:line="240" w:lineRule="auto"/>
      </w:pPr>
      <w:r>
        <w:continuationSeparator/>
      </w:r>
    </w:p>
  </w:endnote>
  <w:endnote w:type="continuationNotice" w:id="1">
    <w:p w14:paraId="3411D5BC" w14:textId="77777777" w:rsidR="00F64F82" w:rsidRDefault="00F64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307D" w14:textId="6283B4F1" w:rsidR="003419E5" w:rsidRPr="003419E5" w:rsidRDefault="003419E5" w:rsidP="003419E5">
    <w:pPr>
      <w:pBdr>
        <w:top w:val="single" w:sz="4" w:space="1" w:color="auto"/>
      </w:pBdr>
      <w:tabs>
        <w:tab w:val="center" w:pos="4500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AU"/>
      </w:rPr>
    </w:pPr>
    <w:r>
      <w:rPr>
        <w:rFonts w:ascii="Arial" w:eastAsia="Times New Roman" w:hAnsi="Arial" w:cs="Arial"/>
        <w:sz w:val="16"/>
        <w:szCs w:val="16"/>
        <w:lang w:eastAsia="en-AU"/>
      </w:rPr>
      <w:t>Fact Sheet Utili</w:t>
    </w:r>
    <w:r w:rsidR="003364C0">
      <w:rPr>
        <w:rFonts w:ascii="Arial" w:eastAsia="Times New Roman" w:hAnsi="Arial" w:cs="Arial"/>
        <w:sz w:val="16"/>
        <w:szCs w:val="16"/>
        <w:lang w:eastAsia="en-AU"/>
      </w:rPr>
      <w:t>ties</w:t>
    </w:r>
    <w:r w:rsidRPr="003419E5">
      <w:rPr>
        <w:rFonts w:ascii="Arial" w:eastAsia="Times New Roman" w:hAnsi="Arial" w:cs="Arial"/>
        <w:sz w:val="16"/>
        <w:szCs w:val="16"/>
        <w:lang w:eastAsia="en-AU"/>
      </w:rPr>
      <w:t>– v</w:t>
    </w:r>
    <w:r>
      <w:rPr>
        <w:rFonts w:ascii="Arial" w:eastAsia="Times New Roman" w:hAnsi="Arial" w:cs="Arial"/>
        <w:sz w:val="16"/>
        <w:szCs w:val="16"/>
        <w:lang w:eastAsia="en-AU"/>
      </w:rPr>
      <w:t>1</w:t>
    </w:r>
    <w:r w:rsidRPr="003419E5">
      <w:rPr>
        <w:rFonts w:ascii="Arial" w:eastAsia="Times New Roman" w:hAnsi="Arial" w:cs="Arial"/>
        <w:sz w:val="16"/>
        <w:szCs w:val="16"/>
        <w:lang w:eastAsia="en-AU"/>
      </w:rPr>
      <w:tab/>
    </w:r>
    <w:r w:rsidRPr="003419E5">
      <w:rPr>
        <w:rFonts w:ascii="Arial" w:eastAsia="Times New Roman" w:hAnsi="Arial" w:cs="Arial"/>
        <w:sz w:val="16"/>
        <w:szCs w:val="16"/>
        <w:lang w:eastAsia="en-AU"/>
      </w:rPr>
      <w:tab/>
    </w:r>
    <w:r>
      <w:rPr>
        <w:rFonts w:ascii="Arial" w:eastAsia="Times New Roman" w:hAnsi="Arial" w:cs="Arial"/>
        <w:sz w:val="16"/>
        <w:szCs w:val="16"/>
        <w:lang w:eastAsia="en-AU"/>
      </w:rPr>
      <w:t>1</w:t>
    </w:r>
  </w:p>
  <w:p w14:paraId="45C6F8CE" w14:textId="77777777" w:rsidR="00866800" w:rsidRPr="0040732F" w:rsidRDefault="00866800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7A66" w14:textId="77777777" w:rsidR="00F64F82" w:rsidRDefault="00F64F82" w:rsidP="006D764E">
      <w:pPr>
        <w:spacing w:after="0" w:line="240" w:lineRule="auto"/>
      </w:pPr>
      <w:r>
        <w:separator/>
      </w:r>
    </w:p>
  </w:footnote>
  <w:footnote w:type="continuationSeparator" w:id="0">
    <w:p w14:paraId="3228ECCC" w14:textId="77777777" w:rsidR="00F64F82" w:rsidRDefault="00F64F82" w:rsidP="006D764E">
      <w:pPr>
        <w:spacing w:after="0" w:line="240" w:lineRule="auto"/>
      </w:pPr>
      <w:r>
        <w:continuationSeparator/>
      </w:r>
    </w:p>
  </w:footnote>
  <w:footnote w:type="continuationNotice" w:id="1">
    <w:p w14:paraId="16CF171E" w14:textId="77777777" w:rsidR="00F64F82" w:rsidRDefault="00F64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288" w:type="dxa"/>
      <w:tblLayout w:type="fixed"/>
      <w:tblLook w:val="01E0" w:firstRow="1" w:lastRow="1" w:firstColumn="1" w:lastColumn="1" w:noHBand="0" w:noVBand="0"/>
    </w:tblPr>
    <w:tblGrid>
      <w:gridCol w:w="7308"/>
      <w:gridCol w:w="1980"/>
    </w:tblGrid>
    <w:tr w:rsidR="0044149C" w:rsidRPr="0044149C" w14:paraId="1E68C9F6" w14:textId="77777777" w:rsidTr="00466600">
      <w:tc>
        <w:tcPr>
          <w:tcW w:w="730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/>
          </w:tcBorders>
        </w:tcPr>
        <w:p w14:paraId="47776458" w14:textId="77777777" w:rsidR="00F64DEF" w:rsidRDefault="00F64DEF" w:rsidP="0044149C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24"/>
            </w:rPr>
          </w:pPr>
        </w:p>
        <w:p w14:paraId="4CF14D98" w14:textId="0B5B451F" w:rsidR="0044149C" w:rsidRPr="0044149C" w:rsidRDefault="0044149C" w:rsidP="00F64DEF">
          <w:pPr>
            <w:tabs>
              <w:tab w:val="center" w:pos="4513"/>
              <w:tab w:val="right" w:pos="9026"/>
            </w:tabs>
            <w:spacing w:before="120" w:after="120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Fact Sheet</w:t>
          </w:r>
        </w:p>
        <w:p w14:paraId="603AABAA" w14:textId="111FC87E" w:rsidR="00466600" w:rsidRPr="0044149C" w:rsidRDefault="0044149C" w:rsidP="00F64DEF">
          <w:pPr>
            <w:tabs>
              <w:tab w:val="center" w:pos="4513"/>
              <w:tab w:val="right" w:pos="9026"/>
            </w:tabs>
            <w:spacing w:before="120" w:after="120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Utilities</w:t>
          </w:r>
        </w:p>
      </w:tc>
      <w:tc>
        <w:tcPr>
          <w:tcW w:w="1980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</w:tcPr>
        <w:p w14:paraId="45D884BB" w14:textId="77777777" w:rsidR="0044149C" w:rsidRPr="0044149C" w:rsidRDefault="0044149C" w:rsidP="0044149C">
          <w:pPr>
            <w:tabs>
              <w:tab w:val="center" w:pos="4513"/>
              <w:tab w:val="right" w:pos="4991"/>
              <w:tab w:val="right" w:pos="9026"/>
            </w:tabs>
            <w:rPr>
              <w:rFonts w:ascii="Arial" w:hAnsi="Arial" w:cs="Arial"/>
              <w:sz w:val="20"/>
            </w:rPr>
          </w:pPr>
          <w:r w:rsidRPr="0044149C">
            <w:rPr>
              <w:rFonts w:ascii="Arial" w:hAnsi="Arial" w:cs="Arial"/>
              <w:noProof/>
              <w:sz w:val="20"/>
            </w:rPr>
            <w:drawing>
              <wp:inline distT="0" distB="0" distL="0" distR="0" wp14:anchorId="3518958B" wp14:editId="0B2DD1A9">
                <wp:extent cx="1123950" cy="609600"/>
                <wp:effectExtent l="0" t="0" r="0" b="0"/>
                <wp:docPr id="9" name="Picture 9" descr="Common Ground Queensla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Common Ground Queensla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AA201D" w14:textId="77777777" w:rsidR="006D764E" w:rsidRPr="0044149C" w:rsidRDefault="006D764E" w:rsidP="0044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4F"/>
    <w:rsid w:val="0001000A"/>
    <w:rsid w:val="00055C78"/>
    <w:rsid w:val="0006122C"/>
    <w:rsid w:val="00093543"/>
    <w:rsid w:val="000B3539"/>
    <w:rsid w:val="000C41C0"/>
    <w:rsid w:val="000C75D4"/>
    <w:rsid w:val="000E6056"/>
    <w:rsid w:val="001240CE"/>
    <w:rsid w:val="0013306E"/>
    <w:rsid w:val="001B1F6D"/>
    <w:rsid w:val="001B2C67"/>
    <w:rsid w:val="001C597D"/>
    <w:rsid w:val="001D2D7A"/>
    <w:rsid w:val="0022586D"/>
    <w:rsid w:val="0023489C"/>
    <w:rsid w:val="002463AE"/>
    <w:rsid w:val="002602BE"/>
    <w:rsid w:val="00261E34"/>
    <w:rsid w:val="002809B0"/>
    <w:rsid w:val="002868D9"/>
    <w:rsid w:val="002A5D89"/>
    <w:rsid w:val="002B6141"/>
    <w:rsid w:val="00301173"/>
    <w:rsid w:val="00314C41"/>
    <w:rsid w:val="00320C74"/>
    <w:rsid w:val="00332FC4"/>
    <w:rsid w:val="00333B89"/>
    <w:rsid w:val="003364C0"/>
    <w:rsid w:val="003419E5"/>
    <w:rsid w:val="003A75CF"/>
    <w:rsid w:val="003B0CA4"/>
    <w:rsid w:val="003E5011"/>
    <w:rsid w:val="003F050F"/>
    <w:rsid w:val="0040732F"/>
    <w:rsid w:val="00433EB0"/>
    <w:rsid w:val="0044149C"/>
    <w:rsid w:val="00466600"/>
    <w:rsid w:val="00467D5A"/>
    <w:rsid w:val="00484BF4"/>
    <w:rsid w:val="00486F46"/>
    <w:rsid w:val="00493AF2"/>
    <w:rsid w:val="004E4B44"/>
    <w:rsid w:val="0052023A"/>
    <w:rsid w:val="00544615"/>
    <w:rsid w:val="00544D47"/>
    <w:rsid w:val="00575AA1"/>
    <w:rsid w:val="00582B8C"/>
    <w:rsid w:val="00586C1E"/>
    <w:rsid w:val="0059266C"/>
    <w:rsid w:val="005C18A9"/>
    <w:rsid w:val="005E72F7"/>
    <w:rsid w:val="005F026D"/>
    <w:rsid w:val="00600AAC"/>
    <w:rsid w:val="00600E8B"/>
    <w:rsid w:val="00615AF1"/>
    <w:rsid w:val="00634036"/>
    <w:rsid w:val="0065026D"/>
    <w:rsid w:val="006650C3"/>
    <w:rsid w:val="006839D9"/>
    <w:rsid w:val="00684C7D"/>
    <w:rsid w:val="00687829"/>
    <w:rsid w:val="00693D20"/>
    <w:rsid w:val="006B4175"/>
    <w:rsid w:val="006B46F5"/>
    <w:rsid w:val="006D764E"/>
    <w:rsid w:val="006E51BF"/>
    <w:rsid w:val="006E5542"/>
    <w:rsid w:val="006E61EB"/>
    <w:rsid w:val="006E6461"/>
    <w:rsid w:val="006F4E3C"/>
    <w:rsid w:val="00766D68"/>
    <w:rsid w:val="0080164F"/>
    <w:rsid w:val="008069B0"/>
    <w:rsid w:val="00811320"/>
    <w:rsid w:val="00815474"/>
    <w:rsid w:val="00820B36"/>
    <w:rsid w:val="008252FC"/>
    <w:rsid w:val="00864B22"/>
    <w:rsid w:val="00866800"/>
    <w:rsid w:val="00870BAE"/>
    <w:rsid w:val="00877B7A"/>
    <w:rsid w:val="008C7F02"/>
    <w:rsid w:val="008E35EF"/>
    <w:rsid w:val="0090326C"/>
    <w:rsid w:val="00922E4F"/>
    <w:rsid w:val="0092590E"/>
    <w:rsid w:val="00936C64"/>
    <w:rsid w:val="00946C83"/>
    <w:rsid w:val="00980450"/>
    <w:rsid w:val="009B14F8"/>
    <w:rsid w:val="009C2A84"/>
    <w:rsid w:val="00A04879"/>
    <w:rsid w:val="00A10C0F"/>
    <w:rsid w:val="00A10D35"/>
    <w:rsid w:val="00A2114C"/>
    <w:rsid w:val="00A21E66"/>
    <w:rsid w:val="00A44A45"/>
    <w:rsid w:val="00A6222A"/>
    <w:rsid w:val="00A649C9"/>
    <w:rsid w:val="00A709A9"/>
    <w:rsid w:val="00A96F6E"/>
    <w:rsid w:val="00AC4301"/>
    <w:rsid w:val="00AE1A51"/>
    <w:rsid w:val="00AF050F"/>
    <w:rsid w:val="00AF2C0A"/>
    <w:rsid w:val="00B032EA"/>
    <w:rsid w:val="00B10D67"/>
    <w:rsid w:val="00B75360"/>
    <w:rsid w:val="00BA3468"/>
    <w:rsid w:val="00BB104E"/>
    <w:rsid w:val="00BB77E2"/>
    <w:rsid w:val="00BE74AB"/>
    <w:rsid w:val="00BF78D5"/>
    <w:rsid w:val="00C07695"/>
    <w:rsid w:val="00C52F10"/>
    <w:rsid w:val="00C67936"/>
    <w:rsid w:val="00C756EB"/>
    <w:rsid w:val="00C7722E"/>
    <w:rsid w:val="00C801CD"/>
    <w:rsid w:val="00CB3DFE"/>
    <w:rsid w:val="00CC7179"/>
    <w:rsid w:val="00CD4E16"/>
    <w:rsid w:val="00CF7205"/>
    <w:rsid w:val="00D20A15"/>
    <w:rsid w:val="00D30497"/>
    <w:rsid w:val="00D504E5"/>
    <w:rsid w:val="00D518AB"/>
    <w:rsid w:val="00D72367"/>
    <w:rsid w:val="00D7523A"/>
    <w:rsid w:val="00D86463"/>
    <w:rsid w:val="00D921FC"/>
    <w:rsid w:val="00D930EF"/>
    <w:rsid w:val="00D95BA7"/>
    <w:rsid w:val="00DA136E"/>
    <w:rsid w:val="00DC6FA0"/>
    <w:rsid w:val="00DE3552"/>
    <w:rsid w:val="00E07FF8"/>
    <w:rsid w:val="00E1395A"/>
    <w:rsid w:val="00E44B70"/>
    <w:rsid w:val="00E45348"/>
    <w:rsid w:val="00E509DD"/>
    <w:rsid w:val="00E556FC"/>
    <w:rsid w:val="00E661EE"/>
    <w:rsid w:val="00E75914"/>
    <w:rsid w:val="00E941F7"/>
    <w:rsid w:val="00EB605B"/>
    <w:rsid w:val="00EB7A78"/>
    <w:rsid w:val="00EC0DCF"/>
    <w:rsid w:val="00ED7981"/>
    <w:rsid w:val="00F64DEF"/>
    <w:rsid w:val="00F64F82"/>
    <w:rsid w:val="00F6501B"/>
    <w:rsid w:val="00F66673"/>
    <w:rsid w:val="00FB4721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3D3E3"/>
  <w15:chartTrackingRefBased/>
  <w15:docId w15:val="{F96CB1B8-9FF7-43FE-8307-99043098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64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6F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4E"/>
  </w:style>
  <w:style w:type="paragraph" w:styleId="Footer">
    <w:name w:val="footer"/>
    <w:basedOn w:val="Normal"/>
    <w:link w:val="FooterChar"/>
    <w:uiPriority w:val="99"/>
    <w:unhideWhenUsed/>
    <w:rsid w:val="006D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4E"/>
  </w:style>
  <w:style w:type="table" w:styleId="TableGridLight">
    <w:name w:val="Grid Table Light"/>
    <w:basedOn w:val="TableNormal"/>
    <w:uiPriority w:val="40"/>
    <w:rsid w:val="006D76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164F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c5c05-d9db-4dac-919e-33fa97c2c359">
      <Terms xmlns="http://schemas.microsoft.com/office/infopath/2007/PartnerControls"/>
    </lcf76f155ced4ddcb4097134ff3c332f>
    <TaxCatchAll xmlns="3058a51c-ebf3-45da-a46e-4c7994461d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D81CF50400842823902D055956492" ma:contentTypeVersion="17" ma:contentTypeDescription="Create a new document." ma:contentTypeScope="" ma:versionID="ec6683de61d53e4c9fc8c51cb9f88310">
  <xsd:schema xmlns:xsd="http://www.w3.org/2001/XMLSchema" xmlns:xs="http://www.w3.org/2001/XMLSchema" xmlns:p="http://schemas.microsoft.com/office/2006/metadata/properties" xmlns:ns2="660c5c05-d9db-4dac-919e-33fa97c2c359" xmlns:ns3="3058a51c-ebf3-45da-a46e-4c7994461d52" targetNamespace="http://schemas.microsoft.com/office/2006/metadata/properties" ma:root="true" ma:fieldsID="cc88aad5ba68fd818bbf06ec86a24a1d" ns2:_="" ns3:_="">
    <xsd:import namespace="660c5c05-d9db-4dac-919e-33fa97c2c359"/>
    <xsd:import namespace="3058a51c-ebf3-45da-a46e-4c7994461d52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5c05-d9db-4dac-919e-33fa97c2c359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0657dfa-f651-4b50-94d5-3bd51943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a51c-ebf3-45da-a46e-4c7994461d5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2ae894-e8fc-4441-a47c-de32c513598a}" ma:internalName="TaxCatchAll" ma:showField="CatchAllData" ma:web="3058a51c-ebf3-45da-a46e-4c7994461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CBA35-2FFB-4AF9-9B2D-818491431CA8}">
  <ds:schemaRefs>
    <ds:schemaRef ds:uri="http://schemas.microsoft.com/office/2006/metadata/properties"/>
    <ds:schemaRef ds:uri="http://schemas.microsoft.com/office/infopath/2007/PartnerControls"/>
    <ds:schemaRef ds:uri="660c5c05-d9db-4dac-919e-33fa97c2c359"/>
    <ds:schemaRef ds:uri="3058a51c-ebf3-45da-a46e-4c7994461d52"/>
  </ds:schemaRefs>
</ds:datastoreItem>
</file>

<file path=customXml/itemProps2.xml><?xml version="1.0" encoding="utf-8"?>
<ds:datastoreItem xmlns:ds="http://schemas.openxmlformats.org/officeDocument/2006/customXml" ds:itemID="{5FDA5920-B2CB-48F2-B5B9-2E14A53D877E}"/>
</file>

<file path=customXml/itemProps3.xml><?xml version="1.0" encoding="utf-8"?>
<ds:datastoreItem xmlns:ds="http://schemas.openxmlformats.org/officeDocument/2006/customXml" ds:itemID="{CFA386FA-7079-43D7-90CB-21E150F86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Taylor</dc:creator>
  <cp:keywords/>
  <dc:description/>
  <cp:lastModifiedBy>Stevie Ackerman</cp:lastModifiedBy>
  <cp:revision>22</cp:revision>
  <cp:lastPrinted>2023-02-10T17:38:00Z</cp:lastPrinted>
  <dcterms:created xsi:type="dcterms:W3CDTF">2023-10-04T19:03:00Z</dcterms:created>
  <dcterms:modified xsi:type="dcterms:W3CDTF">2023-10-04T03:02:00Z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0x0101007F8D81CF50400842823902D055956492</vt:lpwstr>
  </property>
</Properties>
</file>