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23AF" w14:textId="524456A1" w:rsidR="000C6C49" w:rsidRPr="000C6C49" w:rsidRDefault="000C6C49" w:rsidP="000C6C49">
      <w:pPr>
        <w:spacing w:line="280" w:lineRule="atLeast"/>
        <w:rPr>
          <w:rFonts w:ascii="Arial" w:hAnsi="Arial" w:cs="Arial"/>
          <w:bCs/>
          <w:sz w:val="20"/>
          <w:szCs w:val="20"/>
        </w:rPr>
      </w:pPr>
      <w:r>
        <w:rPr>
          <w:rFonts w:ascii="Arial" w:hAnsi="Arial" w:cs="Arial"/>
          <w:bCs/>
          <w:sz w:val="20"/>
          <w:szCs w:val="20"/>
        </w:rPr>
        <w:t xml:space="preserve">This document has been edited in accordance with accessibility guidelines for text-to-audio software. </w:t>
      </w:r>
    </w:p>
    <w:p w14:paraId="3BC63F0B" w14:textId="19E77C4C" w:rsidR="00E05E68" w:rsidRPr="008B6F0D" w:rsidRDefault="00D517C8" w:rsidP="00707F2A">
      <w:pPr>
        <w:pStyle w:val="Heading1"/>
      </w:pPr>
      <w:r w:rsidRPr="008B6F0D">
        <w:t>Supportive</w:t>
      </w:r>
      <w:r w:rsidR="000D1273" w:rsidRPr="008B6F0D">
        <w:t xml:space="preserve"> Housing</w:t>
      </w:r>
      <w:r w:rsidR="00300E69" w:rsidRPr="008B6F0D">
        <w:t xml:space="preserve"> Policy</w:t>
      </w:r>
    </w:p>
    <w:p w14:paraId="3F6D4CE2" w14:textId="77777777" w:rsidR="00CD19FA" w:rsidRPr="008B6F0D" w:rsidRDefault="00CD19FA" w:rsidP="008B6F0D">
      <w:pPr>
        <w:spacing w:line="280" w:lineRule="atLeast"/>
        <w:rPr>
          <w:rFonts w:ascii="Arial" w:hAnsi="Arial" w:cs="Arial"/>
          <w:sz w:val="20"/>
          <w:szCs w:val="20"/>
        </w:rPr>
      </w:pPr>
    </w:p>
    <w:p w14:paraId="19C1F2F0" w14:textId="1C30423E" w:rsidR="00406412" w:rsidRPr="007B637F" w:rsidRDefault="006F3E42" w:rsidP="007B637F">
      <w:pPr>
        <w:pStyle w:val="CGQHeading"/>
        <w:rPr>
          <w:b w:val="0"/>
          <w:bCs/>
          <w:sz w:val="20"/>
          <w:szCs w:val="20"/>
        </w:rPr>
      </w:pPr>
      <w:r w:rsidRPr="007B637F">
        <w:rPr>
          <w:b w:val="0"/>
          <w:bCs/>
          <w:sz w:val="20"/>
          <w:szCs w:val="20"/>
        </w:rPr>
        <w:t xml:space="preserve">Common Ground </w:t>
      </w:r>
      <w:r w:rsidR="009F4247" w:rsidRPr="007B637F">
        <w:rPr>
          <w:b w:val="0"/>
          <w:bCs/>
          <w:sz w:val="20"/>
          <w:szCs w:val="20"/>
        </w:rPr>
        <w:t xml:space="preserve">Queensland is committed to ending homelessness in the communities in which we operate by creating supportive housing solutions through effective public, private and community partnerships. </w:t>
      </w:r>
      <w:r w:rsidRPr="007B637F">
        <w:rPr>
          <w:b w:val="0"/>
          <w:bCs/>
          <w:sz w:val="20"/>
          <w:szCs w:val="20"/>
        </w:rPr>
        <w:t>We understand the specialised nature of tenancy and property management in supportive housing and are focused on providing a safe and</w:t>
      </w:r>
      <w:r w:rsidR="00374484" w:rsidRPr="007B637F">
        <w:rPr>
          <w:b w:val="0"/>
          <w:bCs/>
          <w:sz w:val="20"/>
          <w:szCs w:val="20"/>
        </w:rPr>
        <w:t xml:space="preserve"> secure</w:t>
      </w:r>
      <w:r w:rsidRPr="007B637F">
        <w:rPr>
          <w:b w:val="0"/>
          <w:bCs/>
          <w:sz w:val="20"/>
          <w:szCs w:val="20"/>
        </w:rPr>
        <w:t xml:space="preserve"> environment for tenants, staff and visitors.</w:t>
      </w:r>
    </w:p>
    <w:p w14:paraId="40918E5F" w14:textId="77777777" w:rsidR="00406412" w:rsidRDefault="00406412" w:rsidP="00406412">
      <w:pPr>
        <w:spacing w:after="120" w:line="280" w:lineRule="atLeast"/>
        <w:rPr>
          <w:rFonts w:ascii="Arial" w:hAnsi="Arial" w:cs="Arial"/>
          <w:sz w:val="20"/>
          <w:szCs w:val="20"/>
        </w:rPr>
      </w:pPr>
      <w:r>
        <w:rPr>
          <w:rFonts w:ascii="Arial" w:hAnsi="Arial" w:cs="Arial"/>
          <w:sz w:val="20"/>
          <w:szCs w:val="20"/>
        </w:rPr>
        <w:t>We are committed to:</w:t>
      </w:r>
    </w:p>
    <w:p w14:paraId="109F098A" w14:textId="026A07BD" w:rsidR="00406412" w:rsidRDefault="00406412" w:rsidP="008B6F0D">
      <w:pPr>
        <w:spacing w:line="280" w:lineRule="atLeast"/>
        <w:rPr>
          <w:rFonts w:ascii="Arial" w:hAnsi="Arial" w:cs="Arial"/>
          <w:sz w:val="20"/>
          <w:szCs w:val="20"/>
        </w:rPr>
      </w:pPr>
      <w:r>
        <w:rPr>
          <w:rFonts w:ascii="Arial" w:hAnsi="Arial" w:cs="Arial"/>
          <w:sz w:val="20"/>
          <w:szCs w:val="20"/>
        </w:rPr>
        <w:t>Social Justice – the right to affordable and permanent housing for the most vulnerable and chronically homeless people in our community.</w:t>
      </w:r>
    </w:p>
    <w:p w14:paraId="1778687E" w14:textId="38B78E84" w:rsidR="00406412" w:rsidRDefault="00406412" w:rsidP="008B6F0D">
      <w:pPr>
        <w:spacing w:line="280" w:lineRule="atLeast"/>
        <w:rPr>
          <w:rFonts w:ascii="Arial" w:hAnsi="Arial" w:cs="Arial"/>
          <w:sz w:val="20"/>
          <w:szCs w:val="20"/>
        </w:rPr>
      </w:pPr>
      <w:r>
        <w:rPr>
          <w:rFonts w:ascii="Arial" w:hAnsi="Arial" w:cs="Arial"/>
          <w:sz w:val="20"/>
          <w:szCs w:val="20"/>
        </w:rPr>
        <w:t>Supportive Housing Philosophy – the integration of housing, support services and the community to assist people who have experienced homelessness.</w:t>
      </w:r>
    </w:p>
    <w:p w14:paraId="14579FE0" w14:textId="74E321EA" w:rsidR="00406412" w:rsidRDefault="00406412" w:rsidP="008B6F0D">
      <w:pPr>
        <w:spacing w:line="280" w:lineRule="atLeast"/>
        <w:rPr>
          <w:rFonts w:ascii="Arial" w:hAnsi="Arial" w:cs="Arial"/>
          <w:sz w:val="20"/>
          <w:szCs w:val="20"/>
        </w:rPr>
      </w:pPr>
      <w:r>
        <w:rPr>
          <w:rFonts w:ascii="Arial" w:hAnsi="Arial" w:cs="Arial"/>
          <w:sz w:val="20"/>
          <w:szCs w:val="20"/>
        </w:rPr>
        <w:t>Community – creating sustainable communities to house people who have experienced chronic homelessness.</w:t>
      </w:r>
    </w:p>
    <w:p w14:paraId="25A757D3" w14:textId="4898F52F" w:rsidR="00406412" w:rsidRDefault="00406412" w:rsidP="008B6F0D">
      <w:pPr>
        <w:spacing w:line="280" w:lineRule="atLeast"/>
        <w:rPr>
          <w:rFonts w:ascii="Arial" w:hAnsi="Arial" w:cs="Arial"/>
          <w:sz w:val="20"/>
          <w:szCs w:val="20"/>
        </w:rPr>
      </w:pPr>
      <w:r>
        <w:rPr>
          <w:rFonts w:ascii="Arial" w:hAnsi="Arial" w:cs="Arial"/>
          <w:sz w:val="20"/>
          <w:szCs w:val="20"/>
        </w:rPr>
        <w:t>Environment – design and develop housing solutions that are safe, secure and environmentally sustainable.</w:t>
      </w:r>
    </w:p>
    <w:p w14:paraId="15C5F7C5" w14:textId="2F02EA8F" w:rsidR="00231FBD" w:rsidRPr="008B6F0D" w:rsidRDefault="00406412" w:rsidP="008B6F0D">
      <w:pPr>
        <w:spacing w:line="280" w:lineRule="atLeast"/>
        <w:rPr>
          <w:rFonts w:ascii="Arial" w:hAnsi="Arial" w:cs="Arial"/>
          <w:sz w:val="20"/>
          <w:szCs w:val="20"/>
        </w:rPr>
      </w:pPr>
      <w:r>
        <w:rPr>
          <w:rFonts w:ascii="Arial" w:hAnsi="Arial" w:cs="Arial"/>
          <w:sz w:val="20"/>
          <w:szCs w:val="20"/>
        </w:rPr>
        <w:t>Accountability – sound governance, economic, environmental and financial sustainability.</w:t>
      </w:r>
    </w:p>
    <w:p w14:paraId="466B9E41" w14:textId="1DED4BAA" w:rsidR="00FD031F" w:rsidRPr="008B6F0D" w:rsidRDefault="00503CCC" w:rsidP="00707F2A">
      <w:pPr>
        <w:pStyle w:val="Heading2"/>
      </w:pPr>
      <w:r w:rsidRPr="008B6F0D">
        <w:t xml:space="preserve">Practices of </w:t>
      </w:r>
      <w:r w:rsidR="00E73094" w:rsidRPr="008B6F0D">
        <w:t xml:space="preserve">Tenancy and </w:t>
      </w:r>
      <w:r w:rsidRPr="008B6F0D">
        <w:t>Property Management in Supportive</w:t>
      </w:r>
      <w:r w:rsidR="00FD031F" w:rsidRPr="008B6F0D">
        <w:t xml:space="preserve"> Housing</w:t>
      </w:r>
    </w:p>
    <w:p w14:paraId="29A302B3" w14:textId="77777777" w:rsidR="00C6069E" w:rsidRPr="00375067" w:rsidRDefault="000F3750" w:rsidP="00F676DB">
      <w:pPr>
        <w:numPr>
          <w:ilvl w:val="0"/>
          <w:numId w:val="13"/>
        </w:numPr>
        <w:spacing w:line="280" w:lineRule="atLeast"/>
        <w:rPr>
          <w:rFonts w:ascii="Arial" w:hAnsi="Arial" w:cs="Arial"/>
          <w:sz w:val="20"/>
          <w:szCs w:val="20"/>
        </w:rPr>
      </w:pPr>
      <w:r w:rsidRPr="008B6F0D">
        <w:rPr>
          <w:rFonts w:ascii="Arial" w:hAnsi="Arial" w:cs="Arial"/>
          <w:sz w:val="20"/>
          <w:szCs w:val="20"/>
        </w:rPr>
        <w:t xml:space="preserve">A </w:t>
      </w:r>
      <w:r w:rsidR="00475B8A">
        <w:rPr>
          <w:rFonts w:ascii="Arial" w:hAnsi="Arial" w:cs="Arial"/>
          <w:sz w:val="20"/>
          <w:szCs w:val="20"/>
        </w:rPr>
        <w:t>Memorandum of Understanding (MOU)</w:t>
      </w:r>
      <w:r w:rsidR="008248DE" w:rsidRPr="008B6F0D">
        <w:rPr>
          <w:rFonts w:ascii="Arial" w:hAnsi="Arial" w:cs="Arial"/>
          <w:sz w:val="20"/>
          <w:szCs w:val="20"/>
        </w:rPr>
        <w:t xml:space="preserve"> </w:t>
      </w:r>
      <w:r w:rsidRPr="008B6F0D">
        <w:rPr>
          <w:rFonts w:ascii="Arial" w:hAnsi="Arial" w:cs="Arial"/>
          <w:sz w:val="20"/>
          <w:szCs w:val="20"/>
        </w:rPr>
        <w:t>will be</w:t>
      </w:r>
      <w:r w:rsidR="008248DE" w:rsidRPr="008B6F0D">
        <w:rPr>
          <w:rFonts w:ascii="Arial" w:hAnsi="Arial" w:cs="Arial"/>
          <w:sz w:val="20"/>
          <w:szCs w:val="20"/>
        </w:rPr>
        <w:t xml:space="preserve"> signed with </w:t>
      </w:r>
      <w:r w:rsidR="00F82653" w:rsidRPr="008B6F0D">
        <w:rPr>
          <w:rFonts w:ascii="Arial" w:hAnsi="Arial" w:cs="Arial"/>
          <w:sz w:val="20"/>
          <w:szCs w:val="20"/>
        </w:rPr>
        <w:t xml:space="preserve">the </w:t>
      </w:r>
      <w:r w:rsidR="005134A3" w:rsidRPr="008B6F0D">
        <w:rPr>
          <w:rFonts w:ascii="Arial" w:hAnsi="Arial" w:cs="Arial"/>
          <w:sz w:val="20"/>
          <w:szCs w:val="20"/>
        </w:rPr>
        <w:t>on-site Support Provider</w:t>
      </w:r>
      <w:r w:rsidR="008248DE" w:rsidRPr="008B6F0D">
        <w:rPr>
          <w:rFonts w:ascii="Arial" w:hAnsi="Arial" w:cs="Arial"/>
          <w:sz w:val="20"/>
          <w:szCs w:val="20"/>
        </w:rPr>
        <w:t xml:space="preserve"> before </w:t>
      </w:r>
      <w:r w:rsidR="00E04F51" w:rsidRPr="008B6F0D">
        <w:rPr>
          <w:rFonts w:ascii="Arial" w:hAnsi="Arial" w:cs="Arial"/>
          <w:sz w:val="20"/>
          <w:szCs w:val="20"/>
        </w:rPr>
        <w:t xml:space="preserve">tenancy and </w:t>
      </w:r>
      <w:r w:rsidR="008248DE" w:rsidRPr="008B6F0D">
        <w:rPr>
          <w:rFonts w:ascii="Arial" w:hAnsi="Arial" w:cs="Arial"/>
          <w:sz w:val="20"/>
          <w:szCs w:val="20"/>
        </w:rPr>
        <w:t>property management in any building is commenced</w:t>
      </w:r>
      <w:r w:rsidR="00D27C41" w:rsidRPr="008B6F0D">
        <w:rPr>
          <w:rFonts w:ascii="Arial" w:hAnsi="Arial" w:cs="Arial"/>
          <w:sz w:val="20"/>
          <w:szCs w:val="20"/>
        </w:rPr>
        <w:t xml:space="preserve"> to </w:t>
      </w:r>
      <w:r w:rsidR="00374484">
        <w:rPr>
          <w:rFonts w:ascii="Arial" w:hAnsi="Arial" w:cs="Arial"/>
          <w:sz w:val="20"/>
          <w:szCs w:val="20"/>
        </w:rPr>
        <w:t xml:space="preserve">define roles and </w:t>
      </w:r>
      <w:r w:rsidR="009A4974" w:rsidRPr="008B6F0D">
        <w:rPr>
          <w:rFonts w:ascii="Arial" w:hAnsi="Arial" w:cs="Arial"/>
          <w:sz w:val="20"/>
          <w:szCs w:val="20"/>
        </w:rPr>
        <w:t>guide how</w:t>
      </w:r>
      <w:r w:rsidR="00D4395D" w:rsidRPr="008B6F0D">
        <w:rPr>
          <w:rFonts w:ascii="Arial" w:hAnsi="Arial" w:cs="Arial"/>
          <w:sz w:val="20"/>
          <w:szCs w:val="20"/>
        </w:rPr>
        <w:t xml:space="preserve"> r</w:t>
      </w:r>
      <w:r w:rsidR="00A71F09" w:rsidRPr="008B6F0D">
        <w:rPr>
          <w:rFonts w:ascii="Arial" w:hAnsi="Arial" w:cs="Arial"/>
          <w:sz w:val="20"/>
          <w:szCs w:val="20"/>
        </w:rPr>
        <w:t xml:space="preserve">esponsibilities </w:t>
      </w:r>
      <w:r w:rsidR="009A4974" w:rsidRPr="008B6F0D">
        <w:rPr>
          <w:rFonts w:ascii="Arial" w:hAnsi="Arial" w:cs="Arial"/>
          <w:sz w:val="20"/>
          <w:szCs w:val="20"/>
        </w:rPr>
        <w:t xml:space="preserve">are shared </w:t>
      </w:r>
      <w:r w:rsidR="00D27C41" w:rsidRPr="008B6F0D">
        <w:rPr>
          <w:rFonts w:ascii="Arial" w:hAnsi="Arial" w:cs="Arial"/>
          <w:sz w:val="20"/>
          <w:szCs w:val="20"/>
        </w:rPr>
        <w:t>between the parties</w:t>
      </w:r>
      <w:r w:rsidR="00374484">
        <w:rPr>
          <w:rFonts w:ascii="Arial" w:hAnsi="Arial" w:cs="Arial"/>
          <w:sz w:val="20"/>
          <w:szCs w:val="20"/>
        </w:rPr>
        <w:t xml:space="preserve"> (refer </w:t>
      </w:r>
      <w:r w:rsidR="00374484" w:rsidRPr="00F4110D">
        <w:rPr>
          <w:rFonts w:ascii="Arial" w:hAnsi="Arial" w:cs="Arial"/>
          <w:bCs/>
          <w:sz w:val="20"/>
          <w:szCs w:val="20"/>
        </w:rPr>
        <w:t>Appendix A</w:t>
      </w:r>
      <w:r w:rsidR="00374484">
        <w:rPr>
          <w:rFonts w:ascii="Arial" w:hAnsi="Arial" w:cs="Arial"/>
          <w:sz w:val="20"/>
          <w:szCs w:val="20"/>
        </w:rPr>
        <w:t>)</w:t>
      </w:r>
      <w:r w:rsidR="00B102EF">
        <w:rPr>
          <w:rFonts w:ascii="Arial" w:hAnsi="Arial" w:cs="Arial"/>
          <w:sz w:val="20"/>
          <w:szCs w:val="20"/>
        </w:rPr>
        <w:t>.</w:t>
      </w:r>
    </w:p>
    <w:p w14:paraId="6DAB53C2" w14:textId="77777777" w:rsidR="00FD031F" w:rsidRPr="008B6F0D" w:rsidRDefault="00FD031F" w:rsidP="008B6F0D">
      <w:pPr>
        <w:numPr>
          <w:ilvl w:val="0"/>
          <w:numId w:val="13"/>
        </w:numPr>
        <w:spacing w:line="280" w:lineRule="atLeast"/>
        <w:rPr>
          <w:rFonts w:ascii="Arial" w:hAnsi="Arial" w:cs="Arial"/>
          <w:sz w:val="20"/>
          <w:szCs w:val="20"/>
        </w:rPr>
      </w:pPr>
      <w:r w:rsidRPr="008B6F0D">
        <w:rPr>
          <w:rFonts w:ascii="Arial" w:hAnsi="Arial" w:cs="Arial"/>
          <w:sz w:val="20"/>
          <w:szCs w:val="20"/>
        </w:rPr>
        <w:t xml:space="preserve">Common Ground Queensland works closely with </w:t>
      </w:r>
      <w:r w:rsidR="009E0506" w:rsidRPr="008B6F0D">
        <w:rPr>
          <w:rFonts w:ascii="Arial" w:hAnsi="Arial" w:cs="Arial"/>
          <w:sz w:val="20"/>
          <w:szCs w:val="20"/>
        </w:rPr>
        <w:t xml:space="preserve">the property owner to ensure </w:t>
      </w:r>
      <w:r w:rsidR="00332D2C" w:rsidRPr="008B6F0D">
        <w:rPr>
          <w:rFonts w:ascii="Arial" w:hAnsi="Arial" w:cs="Arial"/>
          <w:sz w:val="20"/>
          <w:szCs w:val="20"/>
        </w:rPr>
        <w:t>it can carry out its</w:t>
      </w:r>
      <w:r w:rsidR="009E0506" w:rsidRPr="008B6F0D">
        <w:rPr>
          <w:rFonts w:ascii="Arial" w:hAnsi="Arial" w:cs="Arial"/>
          <w:sz w:val="20"/>
          <w:szCs w:val="20"/>
        </w:rPr>
        <w:t xml:space="preserve"> polic</w:t>
      </w:r>
      <w:r w:rsidR="00332D2C" w:rsidRPr="008B6F0D">
        <w:rPr>
          <w:rFonts w:ascii="Arial" w:hAnsi="Arial" w:cs="Arial"/>
          <w:sz w:val="20"/>
          <w:szCs w:val="20"/>
        </w:rPr>
        <w:t>ies</w:t>
      </w:r>
      <w:r w:rsidR="002F28C1">
        <w:rPr>
          <w:rFonts w:ascii="Arial" w:hAnsi="Arial" w:cs="Arial"/>
          <w:sz w:val="20"/>
          <w:szCs w:val="20"/>
        </w:rPr>
        <w:t>,</w:t>
      </w:r>
      <w:r w:rsidR="003B5EF6">
        <w:rPr>
          <w:rFonts w:ascii="Arial" w:hAnsi="Arial" w:cs="Arial"/>
          <w:sz w:val="20"/>
          <w:szCs w:val="20"/>
        </w:rPr>
        <w:t xml:space="preserve"> </w:t>
      </w:r>
      <w:r w:rsidR="00332D2C" w:rsidRPr="008B6F0D">
        <w:rPr>
          <w:rFonts w:ascii="Arial" w:hAnsi="Arial" w:cs="Arial"/>
          <w:sz w:val="20"/>
          <w:szCs w:val="20"/>
        </w:rPr>
        <w:t>objectives</w:t>
      </w:r>
      <w:r w:rsidR="000F3750" w:rsidRPr="008B6F0D">
        <w:rPr>
          <w:rFonts w:ascii="Arial" w:hAnsi="Arial" w:cs="Arial"/>
          <w:sz w:val="20"/>
          <w:szCs w:val="20"/>
        </w:rPr>
        <w:t xml:space="preserve"> </w:t>
      </w:r>
      <w:r w:rsidR="00B102EF">
        <w:rPr>
          <w:rFonts w:ascii="Arial" w:hAnsi="Arial" w:cs="Arial"/>
          <w:sz w:val="20"/>
          <w:szCs w:val="20"/>
        </w:rPr>
        <w:t>and contractual obligations</w:t>
      </w:r>
      <w:r w:rsidR="002D3D02" w:rsidRPr="008B6F0D">
        <w:rPr>
          <w:rFonts w:ascii="Arial" w:hAnsi="Arial" w:cs="Arial"/>
          <w:sz w:val="20"/>
          <w:szCs w:val="20"/>
        </w:rPr>
        <w:t>.</w:t>
      </w:r>
    </w:p>
    <w:p w14:paraId="60B9254C" w14:textId="77777777" w:rsidR="00DA6DF0" w:rsidRPr="008B6F0D" w:rsidRDefault="00DA6DF0" w:rsidP="008B6F0D">
      <w:pPr>
        <w:numPr>
          <w:ilvl w:val="0"/>
          <w:numId w:val="13"/>
        </w:numPr>
        <w:spacing w:line="280" w:lineRule="atLeast"/>
        <w:rPr>
          <w:rFonts w:ascii="Arial" w:hAnsi="Arial" w:cs="Arial"/>
          <w:sz w:val="20"/>
          <w:szCs w:val="20"/>
        </w:rPr>
      </w:pPr>
      <w:r w:rsidRPr="008B6F0D">
        <w:rPr>
          <w:rFonts w:ascii="Arial" w:hAnsi="Arial" w:cs="Arial"/>
          <w:sz w:val="20"/>
          <w:szCs w:val="20"/>
        </w:rPr>
        <w:t xml:space="preserve">Common Ground Queensland will </w:t>
      </w:r>
      <w:r w:rsidR="00EA19A2" w:rsidRPr="008B6F0D">
        <w:rPr>
          <w:rFonts w:ascii="Arial" w:hAnsi="Arial" w:cs="Arial"/>
          <w:sz w:val="20"/>
          <w:szCs w:val="20"/>
        </w:rPr>
        <w:t xml:space="preserve">be as flexible as possible in </w:t>
      </w:r>
      <w:r w:rsidRPr="008B6F0D">
        <w:rPr>
          <w:rFonts w:ascii="Arial" w:hAnsi="Arial" w:cs="Arial"/>
          <w:sz w:val="20"/>
          <w:szCs w:val="20"/>
        </w:rPr>
        <w:t>their dealings with tenants</w:t>
      </w:r>
      <w:r w:rsidR="00FE0626">
        <w:rPr>
          <w:rFonts w:ascii="Arial" w:hAnsi="Arial" w:cs="Arial"/>
          <w:sz w:val="20"/>
          <w:szCs w:val="20"/>
        </w:rPr>
        <w:t>.</w:t>
      </w:r>
    </w:p>
    <w:p w14:paraId="39D8BD23" w14:textId="77777777" w:rsidR="00D8345C" w:rsidRDefault="009E0506" w:rsidP="00F676DB">
      <w:pPr>
        <w:numPr>
          <w:ilvl w:val="0"/>
          <w:numId w:val="13"/>
        </w:numPr>
        <w:spacing w:line="280" w:lineRule="atLeast"/>
        <w:rPr>
          <w:rFonts w:ascii="Arial" w:hAnsi="Arial" w:cs="Arial"/>
          <w:sz w:val="20"/>
          <w:szCs w:val="20"/>
        </w:rPr>
      </w:pPr>
      <w:r w:rsidRPr="008B6F0D">
        <w:rPr>
          <w:rFonts w:ascii="Arial" w:hAnsi="Arial" w:cs="Arial"/>
          <w:sz w:val="20"/>
          <w:szCs w:val="20"/>
        </w:rPr>
        <w:t xml:space="preserve">Common Ground Queensland </w:t>
      </w:r>
      <w:r w:rsidR="000F3750" w:rsidRPr="008B6F0D">
        <w:rPr>
          <w:rFonts w:ascii="Arial" w:hAnsi="Arial" w:cs="Arial"/>
          <w:sz w:val="20"/>
          <w:szCs w:val="20"/>
        </w:rPr>
        <w:t>recognises the need for harm minimisation practices appropriate to substance abuse</w:t>
      </w:r>
      <w:r w:rsidR="002F28C1">
        <w:rPr>
          <w:rFonts w:ascii="Arial" w:hAnsi="Arial" w:cs="Arial"/>
          <w:sz w:val="20"/>
          <w:szCs w:val="20"/>
        </w:rPr>
        <w:t>.</w:t>
      </w:r>
    </w:p>
    <w:p w14:paraId="4ADCAA1A" w14:textId="77777777" w:rsidR="00AF1A62" w:rsidRPr="00470070" w:rsidRDefault="003B5EF6" w:rsidP="008B6F0D">
      <w:pPr>
        <w:numPr>
          <w:ilvl w:val="0"/>
          <w:numId w:val="13"/>
        </w:numPr>
        <w:spacing w:line="280" w:lineRule="atLeast"/>
        <w:rPr>
          <w:rFonts w:ascii="Arial" w:hAnsi="Arial" w:cs="Arial"/>
          <w:sz w:val="20"/>
          <w:szCs w:val="20"/>
        </w:rPr>
      </w:pPr>
      <w:r w:rsidRPr="00470070">
        <w:rPr>
          <w:rFonts w:ascii="Arial" w:hAnsi="Arial" w:cs="Arial"/>
          <w:sz w:val="20"/>
          <w:szCs w:val="20"/>
        </w:rPr>
        <w:t xml:space="preserve">Tenancy and property management </w:t>
      </w:r>
      <w:r w:rsidR="00A4463E" w:rsidRPr="00470070">
        <w:rPr>
          <w:rFonts w:ascii="Arial" w:hAnsi="Arial" w:cs="Arial"/>
          <w:sz w:val="20"/>
          <w:szCs w:val="20"/>
        </w:rPr>
        <w:t>record keeping is the responsibility of Common Ground Queensland</w:t>
      </w:r>
      <w:r w:rsidR="00482DD0" w:rsidRPr="00470070">
        <w:rPr>
          <w:rFonts w:ascii="Arial" w:hAnsi="Arial" w:cs="Arial"/>
          <w:sz w:val="20"/>
          <w:szCs w:val="20"/>
        </w:rPr>
        <w:t>. T</w:t>
      </w:r>
      <w:r w:rsidR="00B0487E" w:rsidRPr="00470070">
        <w:rPr>
          <w:rFonts w:ascii="Arial" w:hAnsi="Arial" w:cs="Arial"/>
          <w:sz w:val="20"/>
          <w:szCs w:val="20"/>
        </w:rPr>
        <w:t xml:space="preserve">he </w:t>
      </w:r>
      <w:r w:rsidR="005134A3" w:rsidRPr="00470070">
        <w:rPr>
          <w:rFonts w:ascii="Arial" w:hAnsi="Arial" w:cs="Arial"/>
          <w:sz w:val="20"/>
          <w:szCs w:val="20"/>
        </w:rPr>
        <w:t>on-site Support Provider</w:t>
      </w:r>
      <w:r w:rsidR="00C079B3" w:rsidRPr="00470070">
        <w:rPr>
          <w:rFonts w:ascii="Arial" w:hAnsi="Arial" w:cs="Arial"/>
          <w:sz w:val="20"/>
          <w:szCs w:val="20"/>
        </w:rPr>
        <w:t xml:space="preserve"> maintains oth</w:t>
      </w:r>
      <w:r w:rsidR="005D1186" w:rsidRPr="00470070">
        <w:rPr>
          <w:rFonts w:ascii="Arial" w:hAnsi="Arial" w:cs="Arial"/>
          <w:sz w:val="20"/>
          <w:szCs w:val="20"/>
        </w:rPr>
        <w:t>er records relating to tenants</w:t>
      </w:r>
      <w:r w:rsidR="00812B66" w:rsidRPr="00470070">
        <w:rPr>
          <w:rFonts w:ascii="Arial" w:hAnsi="Arial" w:cs="Arial"/>
          <w:sz w:val="20"/>
          <w:szCs w:val="20"/>
        </w:rPr>
        <w:t>’</w:t>
      </w:r>
      <w:r w:rsidR="005D1186" w:rsidRPr="00470070">
        <w:rPr>
          <w:rFonts w:ascii="Arial" w:hAnsi="Arial" w:cs="Arial"/>
          <w:sz w:val="20"/>
          <w:szCs w:val="20"/>
        </w:rPr>
        <w:t xml:space="preserve"> u</w:t>
      </w:r>
      <w:r w:rsidR="00C079B3" w:rsidRPr="00470070">
        <w:rPr>
          <w:rFonts w:ascii="Arial" w:hAnsi="Arial" w:cs="Arial"/>
          <w:sz w:val="20"/>
          <w:szCs w:val="20"/>
        </w:rPr>
        <w:t>se of support services</w:t>
      </w:r>
      <w:r w:rsidR="00482DD0" w:rsidRPr="00470070">
        <w:rPr>
          <w:rFonts w:ascii="Arial" w:hAnsi="Arial" w:cs="Arial"/>
          <w:sz w:val="20"/>
          <w:szCs w:val="20"/>
        </w:rPr>
        <w:t xml:space="preserve">. </w:t>
      </w:r>
    </w:p>
    <w:p w14:paraId="0E767EBD" w14:textId="77777777" w:rsidR="008248DE" w:rsidRPr="008B6F0D" w:rsidRDefault="008248DE" w:rsidP="008B6F0D">
      <w:pPr>
        <w:numPr>
          <w:ilvl w:val="0"/>
          <w:numId w:val="13"/>
        </w:numPr>
        <w:spacing w:line="280" w:lineRule="atLeast"/>
        <w:rPr>
          <w:rFonts w:ascii="Arial" w:hAnsi="Arial" w:cs="Arial"/>
          <w:sz w:val="20"/>
          <w:szCs w:val="20"/>
        </w:rPr>
      </w:pPr>
      <w:r w:rsidRPr="008B6F0D">
        <w:rPr>
          <w:rFonts w:ascii="Arial" w:hAnsi="Arial" w:cs="Arial"/>
          <w:sz w:val="20"/>
          <w:szCs w:val="20"/>
        </w:rPr>
        <w:t>Evictions are reserved for:</w:t>
      </w:r>
    </w:p>
    <w:p w14:paraId="72E8E396" w14:textId="77777777" w:rsidR="008248DE" w:rsidRPr="008B6F0D" w:rsidRDefault="00EA19A2" w:rsidP="00375067">
      <w:pPr>
        <w:numPr>
          <w:ilvl w:val="1"/>
          <w:numId w:val="13"/>
        </w:numPr>
        <w:tabs>
          <w:tab w:val="clear" w:pos="1440"/>
          <w:tab w:val="num" w:pos="900"/>
        </w:tabs>
        <w:spacing w:line="280" w:lineRule="atLeast"/>
        <w:ind w:left="900" w:hanging="333"/>
        <w:rPr>
          <w:rFonts w:ascii="Arial" w:hAnsi="Arial" w:cs="Arial"/>
          <w:sz w:val="20"/>
          <w:szCs w:val="20"/>
        </w:rPr>
      </w:pPr>
      <w:r w:rsidRPr="008B6F0D">
        <w:rPr>
          <w:rFonts w:ascii="Arial" w:hAnsi="Arial" w:cs="Arial"/>
          <w:sz w:val="20"/>
          <w:szCs w:val="20"/>
        </w:rPr>
        <w:t>Continuing or significant n</w:t>
      </w:r>
      <w:r w:rsidR="008248DE" w:rsidRPr="008B6F0D">
        <w:rPr>
          <w:rFonts w:ascii="Arial" w:hAnsi="Arial" w:cs="Arial"/>
          <w:sz w:val="20"/>
          <w:szCs w:val="20"/>
        </w:rPr>
        <w:t xml:space="preserve">on-payment of </w:t>
      </w:r>
      <w:proofErr w:type="gramStart"/>
      <w:r w:rsidR="008248DE" w:rsidRPr="008B6F0D">
        <w:rPr>
          <w:rFonts w:ascii="Arial" w:hAnsi="Arial" w:cs="Arial"/>
          <w:sz w:val="20"/>
          <w:szCs w:val="20"/>
        </w:rPr>
        <w:t>rent</w:t>
      </w:r>
      <w:r w:rsidR="00812B66" w:rsidRPr="008B6F0D">
        <w:rPr>
          <w:rFonts w:ascii="Arial" w:hAnsi="Arial" w:cs="Arial"/>
          <w:sz w:val="20"/>
          <w:szCs w:val="20"/>
        </w:rPr>
        <w:t>;</w:t>
      </w:r>
      <w:proofErr w:type="gramEnd"/>
    </w:p>
    <w:p w14:paraId="6B6FE3E8" w14:textId="77777777" w:rsidR="008248DE" w:rsidRPr="008B6F0D" w:rsidRDefault="008248DE" w:rsidP="00375067">
      <w:pPr>
        <w:numPr>
          <w:ilvl w:val="1"/>
          <w:numId w:val="13"/>
        </w:numPr>
        <w:tabs>
          <w:tab w:val="clear" w:pos="1440"/>
          <w:tab w:val="num" w:pos="900"/>
        </w:tabs>
        <w:spacing w:line="280" w:lineRule="atLeast"/>
        <w:ind w:left="900" w:hanging="333"/>
        <w:rPr>
          <w:rFonts w:ascii="Arial" w:hAnsi="Arial" w:cs="Arial"/>
          <w:sz w:val="20"/>
          <w:szCs w:val="20"/>
        </w:rPr>
      </w:pPr>
      <w:r w:rsidRPr="008B6F0D">
        <w:rPr>
          <w:rFonts w:ascii="Arial" w:hAnsi="Arial" w:cs="Arial"/>
          <w:sz w:val="20"/>
          <w:szCs w:val="20"/>
        </w:rPr>
        <w:t>Causing serious physical harm to self, staff or others</w:t>
      </w:r>
      <w:r w:rsidR="00812B66" w:rsidRPr="008B6F0D">
        <w:rPr>
          <w:rFonts w:ascii="Arial" w:hAnsi="Arial" w:cs="Arial"/>
          <w:sz w:val="20"/>
          <w:szCs w:val="20"/>
        </w:rPr>
        <w:t>; and</w:t>
      </w:r>
    </w:p>
    <w:p w14:paraId="3E872335" w14:textId="77777777" w:rsidR="00AF1A62" w:rsidRPr="00F676DB" w:rsidRDefault="008248DE" w:rsidP="00375067">
      <w:pPr>
        <w:numPr>
          <w:ilvl w:val="1"/>
          <w:numId w:val="13"/>
        </w:numPr>
        <w:tabs>
          <w:tab w:val="clear" w:pos="1440"/>
          <w:tab w:val="num" w:pos="900"/>
        </w:tabs>
        <w:spacing w:line="280" w:lineRule="atLeast"/>
        <w:ind w:left="900" w:hanging="333"/>
        <w:rPr>
          <w:rFonts w:ascii="Arial" w:hAnsi="Arial" w:cs="Arial"/>
          <w:sz w:val="20"/>
          <w:szCs w:val="20"/>
        </w:rPr>
      </w:pPr>
      <w:r w:rsidRPr="008B6F0D">
        <w:rPr>
          <w:rFonts w:ascii="Arial" w:hAnsi="Arial" w:cs="Arial"/>
          <w:sz w:val="20"/>
          <w:szCs w:val="20"/>
        </w:rPr>
        <w:t>Pursuing a criminal activity on the premises</w:t>
      </w:r>
      <w:r w:rsidR="006B354E" w:rsidRPr="008B6F0D">
        <w:rPr>
          <w:rFonts w:ascii="Arial" w:hAnsi="Arial" w:cs="Arial"/>
          <w:sz w:val="20"/>
          <w:szCs w:val="20"/>
        </w:rPr>
        <w:t>.</w:t>
      </w:r>
    </w:p>
    <w:p w14:paraId="615E7FB2" w14:textId="77777777" w:rsidR="008248DE" w:rsidRPr="008B6F0D" w:rsidRDefault="008248DE" w:rsidP="008B6F0D">
      <w:pPr>
        <w:numPr>
          <w:ilvl w:val="0"/>
          <w:numId w:val="13"/>
        </w:numPr>
        <w:spacing w:line="280" w:lineRule="atLeast"/>
        <w:rPr>
          <w:rFonts w:ascii="Arial" w:hAnsi="Arial" w:cs="Arial"/>
          <w:sz w:val="20"/>
          <w:szCs w:val="20"/>
        </w:rPr>
      </w:pPr>
      <w:r w:rsidRPr="008B6F0D">
        <w:rPr>
          <w:rFonts w:ascii="Arial" w:hAnsi="Arial" w:cs="Arial"/>
          <w:sz w:val="20"/>
          <w:szCs w:val="20"/>
        </w:rPr>
        <w:t>For other repeated i</w:t>
      </w:r>
      <w:r w:rsidR="00B0487E" w:rsidRPr="008B6F0D">
        <w:rPr>
          <w:rFonts w:ascii="Arial" w:hAnsi="Arial" w:cs="Arial"/>
          <w:sz w:val="20"/>
          <w:szCs w:val="20"/>
        </w:rPr>
        <w:t>nfractions, sanctions other than</w:t>
      </w:r>
      <w:r w:rsidRPr="008B6F0D">
        <w:rPr>
          <w:rFonts w:ascii="Arial" w:hAnsi="Arial" w:cs="Arial"/>
          <w:sz w:val="20"/>
          <w:szCs w:val="20"/>
        </w:rPr>
        <w:t xml:space="preserve"> eviction will be tried first, including such options as:</w:t>
      </w:r>
    </w:p>
    <w:p w14:paraId="0155A888" w14:textId="77777777" w:rsidR="008248DE" w:rsidRPr="008B6F0D" w:rsidRDefault="008248DE" w:rsidP="00375067">
      <w:pPr>
        <w:numPr>
          <w:ilvl w:val="1"/>
          <w:numId w:val="13"/>
        </w:numPr>
        <w:tabs>
          <w:tab w:val="clear" w:pos="1440"/>
          <w:tab w:val="num" w:pos="900"/>
        </w:tabs>
        <w:spacing w:line="280" w:lineRule="atLeast"/>
        <w:ind w:left="900" w:hanging="333"/>
        <w:rPr>
          <w:rFonts w:ascii="Arial" w:hAnsi="Arial" w:cs="Arial"/>
          <w:sz w:val="20"/>
          <w:szCs w:val="20"/>
        </w:rPr>
      </w:pPr>
      <w:proofErr w:type="gramStart"/>
      <w:r w:rsidRPr="008B6F0D">
        <w:rPr>
          <w:rFonts w:ascii="Arial" w:hAnsi="Arial" w:cs="Arial"/>
          <w:sz w:val="20"/>
          <w:szCs w:val="20"/>
        </w:rPr>
        <w:t>Arbitration</w:t>
      </w:r>
      <w:r w:rsidR="00812B66" w:rsidRPr="008B6F0D">
        <w:rPr>
          <w:rFonts w:ascii="Arial" w:hAnsi="Arial" w:cs="Arial"/>
          <w:sz w:val="20"/>
          <w:szCs w:val="20"/>
        </w:rPr>
        <w:t>;</w:t>
      </w:r>
      <w:proofErr w:type="gramEnd"/>
    </w:p>
    <w:p w14:paraId="4E2F2D37" w14:textId="77777777" w:rsidR="008248DE" w:rsidRPr="008B6F0D" w:rsidRDefault="008248DE" w:rsidP="00375067">
      <w:pPr>
        <w:numPr>
          <w:ilvl w:val="1"/>
          <w:numId w:val="13"/>
        </w:numPr>
        <w:tabs>
          <w:tab w:val="clear" w:pos="1440"/>
          <w:tab w:val="num" w:pos="900"/>
        </w:tabs>
        <w:spacing w:line="280" w:lineRule="atLeast"/>
        <w:ind w:left="900" w:hanging="333"/>
        <w:rPr>
          <w:rFonts w:ascii="Arial" w:hAnsi="Arial" w:cs="Arial"/>
          <w:sz w:val="20"/>
          <w:szCs w:val="20"/>
        </w:rPr>
      </w:pPr>
      <w:r w:rsidRPr="008B6F0D">
        <w:rPr>
          <w:rFonts w:ascii="Arial" w:hAnsi="Arial" w:cs="Arial"/>
          <w:sz w:val="20"/>
          <w:szCs w:val="20"/>
        </w:rPr>
        <w:t xml:space="preserve">Crisis </w:t>
      </w:r>
      <w:proofErr w:type="gramStart"/>
      <w:r w:rsidRPr="008B6F0D">
        <w:rPr>
          <w:rFonts w:ascii="Arial" w:hAnsi="Arial" w:cs="Arial"/>
          <w:sz w:val="20"/>
          <w:szCs w:val="20"/>
        </w:rPr>
        <w:t>intervention</w:t>
      </w:r>
      <w:r w:rsidR="00812B66" w:rsidRPr="008B6F0D">
        <w:rPr>
          <w:rFonts w:ascii="Arial" w:hAnsi="Arial" w:cs="Arial"/>
          <w:sz w:val="20"/>
          <w:szCs w:val="20"/>
        </w:rPr>
        <w:t>;</w:t>
      </w:r>
      <w:proofErr w:type="gramEnd"/>
    </w:p>
    <w:p w14:paraId="02E67F96" w14:textId="77777777" w:rsidR="008248DE" w:rsidRPr="008B6F0D" w:rsidRDefault="008248DE" w:rsidP="00375067">
      <w:pPr>
        <w:numPr>
          <w:ilvl w:val="1"/>
          <w:numId w:val="13"/>
        </w:numPr>
        <w:tabs>
          <w:tab w:val="clear" w:pos="1440"/>
          <w:tab w:val="num" w:pos="900"/>
        </w:tabs>
        <w:spacing w:line="280" w:lineRule="atLeast"/>
        <w:ind w:left="900" w:hanging="333"/>
        <w:rPr>
          <w:rFonts w:ascii="Arial" w:hAnsi="Arial" w:cs="Arial"/>
          <w:sz w:val="20"/>
          <w:szCs w:val="20"/>
        </w:rPr>
      </w:pPr>
      <w:r w:rsidRPr="008B6F0D">
        <w:rPr>
          <w:rFonts w:ascii="Arial" w:hAnsi="Arial" w:cs="Arial"/>
          <w:sz w:val="20"/>
          <w:szCs w:val="20"/>
        </w:rPr>
        <w:t>Referral to alternative housing</w:t>
      </w:r>
      <w:r w:rsidR="00812B66" w:rsidRPr="008B6F0D">
        <w:rPr>
          <w:rFonts w:ascii="Arial" w:hAnsi="Arial" w:cs="Arial"/>
          <w:sz w:val="20"/>
          <w:szCs w:val="20"/>
        </w:rPr>
        <w:t>; and</w:t>
      </w:r>
    </w:p>
    <w:p w14:paraId="5FB94BF2" w14:textId="77777777" w:rsidR="006F2F2B" w:rsidRPr="008B6F0D" w:rsidRDefault="006F2F2B" w:rsidP="00375067">
      <w:pPr>
        <w:numPr>
          <w:ilvl w:val="1"/>
          <w:numId w:val="13"/>
        </w:numPr>
        <w:tabs>
          <w:tab w:val="clear" w:pos="1440"/>
          <w:tab w:val="num" w:pos="900"/>
        </w:tabs>
        <w:spacing w:line="280" w:lineRule="atLeast"/>
        <w:ind w:left="900" w:hanging="333"/>
        <w:rPr>
          <w:rFonts w:ascii="Arial" w:hAnsi="Arial" w:cs="Arial"/>
          <w:sz w:val="20"/>
          <w:szCs w:val="20"/>
        </w:rPr>
      </w:pPr>
      <w:r w:rsidRPr="008B6F0D">
        <w:rPr>
          <w:rFonts w:ascii="Arial" w:hAnsi="Arial" w:cs="Arial"/>
          <w:sz w:val="20"/>
          <w:szCs w:val="20"/>
        </w:rPr>
        <w:t>Engaging and provid</w:t>
      </w:r>
      <w:r w:rsidR="00812B66" w:rsidRPr="008B6F0D">
        <w:rPr>
          <w:rFonts w:ascii="Arial" w:hAnsi="Arial" w:cs="Arial"/>
          <w:sz w:val="20"/>
          <w:szCs w:val="20"/>
        </w:rPr>
        <w:t>ing</w:t>
      </w:r>
      <w:r w:rsidRPr="008B6F0D">
        <w:rPr>
          <w:rFonts w:ascii="Arial" w:hAnsi="Arial" w:cs="Arial"/>
          <w:sz w:val="20"/>
          <w:szCs w:val="20"/>
        </w:rPr>
        <w:t xml:space="preserve"> support to assist when necessary</w:t>
      </w:r>
      <w:r w:rsidR="00812B66" w:rsidRPr="008B6F0D">
        <w:rPr>
          <w:rFonts w:ascii="Arial" w:hAnsi="Arial" w:cs="Arial"/>
          <w:sz w:val="20"/>
          <w:szCs w:val="20"/>
        </w:rPr>
        <w:t>.</w:t>
      </w:r>
    </w:p>
    <w:p w14:paraId="33B697EC" w14:textId="337C78D3" w:rsidR="001D16BF" w:rsidRPr="007B637F" w:rsidRDefault="002D6ADA" w:rsidP="00707F2A">
      <w:pPr>
        <w:pStyle w:val="Heading2"/>
      </w:pPr>
      <w:r w:rsidRPr="008B6F0D">
        <w:t>Procedures that Implement</w:t>
      </w:r>
    </w:p>
    <w:p w14:paraId="338BCFE1" w14:textId="4933F5BE" w:rsidR="002D6ADA" w:rsidRPr="008B6F0D" w:rsidRDefault="001D16BF" w:rsidP="008B6F0D">
      <w:pPr>
        <w:spacing w:line="280" w:lineRule="atLeast"/>
        <w:rPr>
          <w:rFonts w:ascii="Arial" w:hAnsi="Arial" w:cs="Arial"/>
          <w:sz w:val="20"/>
          <w:szCs w:val="20"/>
        </w:rPr>
      </w:pPr>
      <w:r w:rsidRPr="008B6F0D">
        <w:rPr>
          <w:rFonts w:ascii="Arial" w:hAnsi="Arial" w:cs="Arial"/>
          <w:sz w:val="20"/>
          <w:szCs w:val="20"/>
        </w:rPr>
        <w:t xml:space="preserve">This policy will be actively implemented by adherence </w:t>
      </w:r>
      <w:r w:rsidR="000F2654" w:rsidRPr="008B6F0D">
        <w:rPr>
          <w:rFonts w:ascii="Arial" w:hAnsi="Arial" w:cs="Arial"/>
          <w:sz w:val="20"/>
          <w:szCs w:val="20"/>
        </w:rPr>
        <w:t xml:space="preserve">to </w:t>
      </w:r>
      <w:r w:rsidR="002D6ADA" w:rsidRPr="008B6F0D">
        <w:rPr>
          <w:rFonts w:ascii="Arial" w:hAnsi="Arial" w:cs="Arial"/>
          <w:sz w:val="20"/>
          <w:szCs w:val="20"/>
        </w:rPr>
        <w:t>the following procedures</w:t>
      </w:r>
      <w:r w:rsidRPr="008B6F0D">
        <w:rPr>
          <w:rFonts w:ascii="Arial" w:hAnsi="Arial" w:cs="Arial"/>
          <w:sz w:val="20"/>
          <w:szCs w:val="20"/>
        </w:rPr>
        <w:t>:</w:t>
      </w:r>
    </w:p>
    <w:p w14:paraId="15B2B632"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Communication with Tenants Procedure</w:t>
      </w:r>
    </w:p>
    <w:p w14:paraId="04044C46"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 xml:space="preserve">Critical Incidents Procedure </w:t>
      </w:r>
    </w:p>
    <w:p w14:paraId="33EEBE12"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Ending a Tenancy Procedure</w:t>
      </w:r>
    </w:p>
    <w:p w14:paraId="68FE8B8F"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Non-Critical Incidents Procedure</w:t>
      </w:r>
    </w:p>
    <w:p w14:paraId="083CD0AF"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lastRenderedPageBreak/>
        <w:t>Payments Other Than Rent Procedure</w:t>
      </w:r>
    </w:p>
    <w:p w14:paraId="201E73FC" w14:textId="77777777" w:rsidR="00E71C5E" w:rsidRPr="008B6F0D" w:rsidRDefault="00E71C5E" w:rsidP="008B6F0D">
      <w:pPr>
        <w:numPr>
          <w:ilvl w:val="0"/>
          <w:numId w:val="13"/>
        </w:numPr>
        <w:spacing w:line="280" w:lineRule="atLeast"/>
        <w:rPr>
          <w:rFonts w:ascii="Arial" w:hAnsi="Arial" w:cs="Arial"/>
          <w:sz w:val="20"/>
          <w:szCs w:val="20"/>
        </w:rPr>
      </w:pPr>
      <w:r>
        <w:rPr>
          <w:rFonts w:ascii="Arial" w:hAnsi="Arial" w:cs="Arial"/>
          <w:sz w:val="20"/>
          <w:szCs w:val="20"/>
        </w:rPr>
        <w:t>Privacy and Confidentiality Procedure</w:t>
      </w:r>
    </w:p>
    <w:p w14:paraId="4B545D0B"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Rent Arrears Management Procedure</w:t>
      </w:r>
    </w:p>
    <w:p w14:paraId="7E82484F"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Rent Calculation, Collection</w:t>
      </w:r>
      <w:r w:rsidR="00704353">
        <w:rPr>
          <w:rFonts w:ascii="Arial" w:hAnsi="Arial" w:cs="Arial"/>
          <w:sz w:val="20"/>
          <w:szCs w:val="20"/>
        </w:rPr>
        <w:t xml:space="preserve"> and</w:t>
      </w:r>
      <w:r w:rsidRPr="008B6F0D">
        <w:rPr>
          <w:rFonts w:ascii="Arial" w:hAnsi="Arial" w:cs="Arial"/>
          <w:sz w:val="20"/>
          <w:szCs w:val="20"/>
        </w:rPr>
        <w:t xml:space="preserve"> Review Procedure</w:t>
      </w:r>
    </w:p>
    <w:p w14:paraId="671CEC51"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Starting a Tenancy Procedure</w:t>
      </w:r>
    </w:p>
    <w:p w14:paraId="5BA2D5BC" w14:textId="77777777" w:rsidR="005134A3"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Sustaining Tenancies Procedure</w:t>
      </w:r>
    </w:p>
    <w:p w14:paraId="10EE863C" w14:textId="77777777" w:rsidR="009F4247" w:rsidRPr="008B6F0D" w:rsidRDefault="009F4247" w:rsidP="008B6F0D">
      <w:pPr>
        <w:numPr>
          <w:ilvl w:val="0"/>
          <w:numId w:val="13"/>
        </w:numPr>
        <w:spacing w:line="280" w:lineRule="atLeast"/>
        <w:rPr>
          <w:rFonts w:ascii="Arial" w:hAnsi="Arial" w:cs="Arial"/>
          <w:sz w:val="20"/>
          <w:szCs w:val="20"/>
        </w:rPr>
      </w:pPr>
      <w:r>
        <w:rPr>
          <w:rFonts w:ascii="Arial" w:hAnsi="Arial" w:cs="Arial"/>
          <w:sz w:val="20"/>
          <w:szCs w:val="20"/>
        </w:rPr>
        <w:t>Strengthening New Tenancies Procedure</w:t>
      </w:r>
    </w:p>
    <w:p w14:paraId="29A065B8"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Tenancy Management (Residential) Procedure</w:t>
      </w:r>
    </w:p>
    <w:p w14:paraId="096B06FC"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Tenant and Community Participation Procedure</w:t>
      </w:r>
    </w:p>
    <w:p w14:paraId="69F79B6E"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Tenant Compliments, Complaints and Appeals Procedure</w:t>
      </w:r>
    </w:p>
    <w:p w14:paraId="5B12B967" w14:textId="77777777" w:rsidR="005134A3" w:rsidRPr="008B6F0D"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Tenant Feedback Procedure</w:t>
      </w:r>
    </w:p>
    <w:p w14:paraId="785F9A94" w14:textId="77777777" w:rsidR="005134A3" w:rsidRDefault="005134A3" w:rsidP="008B6F0D">
      <w:pPr>
        <w:numPr>
          <w:ilvl w:val="0"/>
          <w:numId w:val="13"/>
        </w:numPr>
        <w:spacing w:line="280" w:lineRule="atLeast"/>
        <w:rPr>
          <w:rFonts w:ascii="Arial" w:hAnsi="Arial" w:cs="Arial"/>
          <w:sz w:val="20"/>
          <w:szCs w:val="20"/>
        </w:rPr>
      </w:pPr>
      <w:r w:rsidRPr="008B6F0D">
        <w:rPr>
          <w:rFonts w:ascii="Arial" w:hAnsi="Arial" w:cs="Arial"/>
          <w:sz w:val="20"/>
          <w:szCs w:val="20"/>
        </w:rPr>
        <w:t>Visitor Procedure</w:t>
      </w:r>
    </w:p>
    <w:p w14:paraId="06BA0AC4" w14:textId="77777777" w:rsidR="009F4247" w:rsidRDefault="009F4247" w:rsidP="008B6F0D">
      <w:pPr>
        <w:numPr>
          <w:ilvl w:val="0"/>
          <w:numId w:val="13"/>
        </w:numPr>
        <w:spacing w:line="280" w:lineRule="atLeast"/>
        <w:rPr>
          <w:rFonts w:ascii="Arial" w:hAnsi="Arial" w:cs="Arial"/>
          <w:sz w:val="20"/>
          <w:szCs w:val="20"/>
        </w:rPr>
      </w:pPr>
      <w:r>
        <w:rPr>
          <w:rFonts w:ascii="Arial" w:hAnsi="Arial" w:cs="Arial"/>
          <w:sz w:val="20"/>
          <w:szCs w:val="20"/>
        </w:rPr>
        <w:t xml:space="preserve">Referrals Procedure </w:t>
      </w:r>
    </w:p>
    <w:p w14:paraId="2A3BC35E" w14:textId="77777777" w:rsidR="00F676DB" w:rsidRDefault="00F676DB" w:rsidP="008B6F0D">
      <w:pPr>
        <w:numPr>
          <w:ilvl w:val="0"/>
          <w:numId w:val="13"/>
        </w:numPr>
        <w:spacing w:line="280" w:lineRule="atLeast"/>
        <w:rPr>
          <w:rFonts w:ascii="Arial" w:hAnsi="Arial" w:cs="Arial"/>
          <w:sz w:val="20"/>
          <w:szCs w:val="20"/>
        </w:rPr>
        <w:sectPr w:rsidR="00F676DB" w:rsidSect="002113D5">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709" w:footer="709" w:gutter="0"/>
          <w:cols w:space="708"/>
          <w:docGrid w:linePitch="360"/>
        </w:sectPr>
      </w:pPr>
      <w:r>
        <w:rPr>
          <w:rFonts w:ascii="Arial" w:hAnsi="Arial" w:cs="Arial"/>
          <w:sz w:val="20"/>
          <w:szCs w:val="20"/>
        </w:rPr>
        <w:t>Tenant Transfer Procedure</w:t>
      </w:r>
    </w:p>
    <w:p w14:paraId="32C4BCB3" w14:textId="713AA9BF" w:rsidR="00F676DB" w:rsidRPr="00F4110D" w:rsidRDefault="00F676DB" w:rsidP="5960DA7B">
      <w:pPr>
        <w:pStyle w:val="Heading2"/>
        <w:rPr>
          <w:rFonts w:ascii="Arial" w:hAnsi="Arial" w:cs="Arial"/>
          <w:sz w:val="20"/>
          <w:szCs w:val="20"/>
        </w:rPr>
      </w:pPr>
      <w:r w:rsidRPr="00F4110D">
        <w:rPr>
          <w:rFonts w:ascii="Arial" w:hAnsi="Arial" w:cs="Arial"/>
          <w:sz w:val="20"/>
          <w:szCs w:val="20"/>
        </w:rPr>
        <w:lastRenderedPageBreak/>
        <w:t>Appendix A: Tenancy and Property Management and on-Site Support Services: Roles and Responsibilities and Areas of Overlap</w:t>
      </w:r>
    </w:p>
    <w:p w14:paraId="789F49BC" w14:textId="77777777" w:rsidR="5960DA7B" w:rsidRPr="00F4110D" w:rsidRDefault="5960DA7B" w:rsidP="5960DA7B">
      <w:pPr>
        <w:spacing w:line="280" w:lineRule="atLeast"/>
        <w:rPr>
          <w:rFonts w:ascii="Arial" w:hAnsi="Arial" w:cs="Arial"/>
          <w:sz w:val="20"/>
          <w:szCs w:val="20"/>
        </w:rPr>
      </w:pPr>
    </w:p>
    <w:p w14:paraId="5279F096" w14:textId="49AF692E"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Intake: Tenant Selection and Interviewing</w:t>
      </w:r>
    </w:p>
    <w:p w14:paraId="2814D874" w14:textId="462EC02A"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Responsibilities of Tenancy and Property Management Staff: Focus on ability to pay rent and capacity to meet tenancy obligations during interview.</w:t>
      </w:r>
    </w:p>
    <w:p w14:paraId="7B9B382F" w14:textId="23723FE7"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Responsibilities of on-site Support Provider Staff: Focus on service description during interview. </w:t>
      </w:r>
    </w:p>
    <w:p w14:paraId="7DCC0F92" w14:textId="0F91F9F8"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Both Tenancy and Property Management staff and on-site Support Provider staff conduct the tenant interview, focusing on eligibility, building suitability and matching for success. </w:t>
      </w:r>
    </w:p>
    <w:p w14:paraId="36B219AE" w14:textId="5C110E2E"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Orientation of incoming tenants (sign up)</w:t>
      </w:r>
    </w:p>
    <w:p w14:paraId="535055A0" w14:textId="27E351E1"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Responsibilities of Tenancy and Property Management Staff: Orient tenants about building maintenance issues, fire drills and evacuation procedure. </w:t>
      </w:r>
    </w:p>
    <w:p w14:paraId="515AA62B" w14:textId="68556A7F"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Responsibilities of on-site Support Provider Staff: </w:t>
      </w:r>
      <w:proofErr w:type="gramStart"/>
      <w:r w:rsidRPr="00F4110D">
        <w:rPr>
          <w:rFonts w:ascii="Arial" w:eastAsia="Arial" w:hAnsi="Arial" w:cs="Arial"/>
          <w:sz w:val="20"/>
          <w:szCs w:val="20"/>
        </w:rPr>
        <w:t>Provide assistance to</w:t>
      </w:r>
      <w:proofErr w:type="gramEnd"/>
      <w:r w:rsidRPr="00F4110D">
        <w:rPr>
          <w:rFonts w:ascii="Arial" w:eastAsia="Arial" w:hAnsi="Arial" w:cs="Arial"/>
          <w:sz w:val="20"/>
          <w:szCs w:val="20"/>
        </w:rPr>
        <w:t xml:space="preserve"> tenants to as requested to move in and to become familiar with services available and resources within the local community. </w:t>
      </w:r>
    </w:p>
    <w:p w14:paraId="6ECE24AD" w14:textId="3E690505"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Rent payment and arrears</w:t>
      </w:r>
    </w:p>
    <w:p w14:paraId="32BE0B17" w14:textId="7428AC03"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Responsibilities of Tenancy and Property Management Staff: Responsible for collecting rent and addressing issues of rent arrears through payment plans, etc. and engaging the on-site Support Provider to assist when </w:t>
      </w:r>
      <w:proofErr w:type="gramStart"/>
      <w:r w:rsidRPr="00F4110D">
        <w:rPr>
          <w:rFonts w:ascii="Arial" w:eastAsia="Arial" w:hAnsi="Arial" w:cs="Arial"/>
          <w:sz w:val="20"/>
          <w:szCs w:val="20"/>
        </w:rPr>
        <w:t>necessary</w:t>
      </w:r>
      <w:proofErr w:type="gramEnd"/>
      <w:r w:rsidRPr="00F4110D">
        <w:rPr>
          <w:rFonts w:ascii="Arial" w:eastAsia="Arial" w:hAnsi="Arial" w:cs="Arial"/>
          <w:sz w:val="20"/>
          <w:szCs w:val="20"/>
        </w:rPr>
        <w:t xml:space="preserve"> via a Sustaining Tenancy Plan. </w:t>
      </w:r>
    </w:p>
    <w:p w14:paraId="64B17628" w14:textId="154CAB3C"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Responsibilities of on-site Support Provider Staff: </w:t>
      </w:r>
      <w:proofErr w:type="gramStart"/>
      <w:r w:rsidRPr="00F4110D">
        <w:rPr>
          <w:rFonts w:ascii="Arial" w:eastAsia="Arial" w:hAnsi="Arial" w:cs="Arial"/>
          <w:sz w:val="20"/>
          <w:szCs w:val="20"/>
        </w:rPr>
        <w:t>Provide assistance to</w:t>
      </w:r>
      <w:proofErr w:type="gramEnd"/>
      <w:r w:rsidRPr="00F4110D">
        <w:rPr>
          <w:rFonts w:ascii="Arial" w:eastAsia="Arial" w:hAnsi="Arial" w:cs="Arial"/>
          <w:sz w:val="20"/>
          <w:szCs w:val="20"/>
        </w:rPr>
        <w:t xml:space="preserve"> tenants to ensure rental payments are maintained. Coordinate with the Tenancy and Property Management Staff if payment lapses and payment plans are required. </w:t>
      </w:r>
    </w:p>
    <w:p w14:paraId="5202FB93" w14:textId="4B1AB83A"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Dealing with nuisance and disruptive behaviours</w:t>
      </w:r>
    </w:p>
    <w:p w14:paraId="51AFF753" w14:textId="2AE6E4C9"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Good Neighbour Charter is developed jointly by the Tenancy and Property management staff and the on-site Support Provider. Some basic rules may be developed with tenant input. All staff can promote healthy cultural norms for the building. </w:t>
      </w:r>
    </w:p>
    <w:p w14:paraId="259F987F" w14:textId="3571BD7B"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Procedures in crises (</w:t>
      </w:r>
      <w:proofErr w:type="gramStart"/>
      <w:r w:rsidRPr="00F4110D">
        <w:rPr>
          <w:rFonts w:ascii="Arial" w:hAnsi="Arial" w:cs="Arial"/>
          <w:sz w:val="20"/>
          <w:szCs w:val="20"/>
        </w:rPr>
        <w:t>e.g.</w:t>
      </w:r>
      <w:proofErr w:type="gramEnd"/>
      <w:r w:rsidRPr="00F4110D">
        <w:rPr>
          <w:rFonts w:ascii="Arial" w:hAnsi="Arial" w:cs="Arial"/>
          <w:sz w:val="20"/>
          <w:szCs w:val="20"/>
        </w:rPr>
        <w:t xml:space="preserve"> psychiatric, medical, physical, or fire)</w:t>
      </w:r>
    </w:p>
    <w:p w14:paraId="6FE3F7BE" w14:textId="499E7934"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Clear policies and procedures should be in place for dealing with disruptions. These should clearly spell out the chain of command in case of emergency, what information to provide to Emergency Management Services (</w:t>
      </w:r>
      <w:proofErr w:type="gramStart"/>
      <w:r w:rsidRPr="00F4110D">
        <w:rPr>
          <w:rFonts w:ascii="Arial" w:eastAsia="Arial" w:hAnsi="Arial" w:cs="Arial"/>
          <w:sz w:val="20"/>
          <w:szCs w:val="20"/>
        </w:rPr>
        <w:t>i.e.</w:t>
      </w:r>
      <w:proofErr w:type="gramEnd"/>
      <w:r w:rsidRPr="00F4110D">
        <w:rPr>
          <w:rFonts w:ascii="Arial" w:eastAsia="Arial" w:hAnsi="Arial" w:cs="Arial"/>
          <w:sz w:val="20"/>
          <w:szCs w:val="20"/>
        </w:rPr>
        <w:t xml:space="preserve"> police/fire services/ambulance), when to summon on-call staff, etc. </w:t>
      </w:r>
    </w:p>
    <w:p w14:paraId="2F2ADE40" w14:textId="55FDB7AE"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Tenant grievance procedures</w:t>
      </w:r>
    </w:p>
    <w:p w14:paraId="7A4A69BC" w14:textId="5EBFABD7" w:rsidR="5960DA7B" w:rsidRPr="00F4110D" w:rsidRDefault="5960DA7B" w:rsidP="5960DA7B">
      <w:pPr>
        <w:spacing w:line="257" w:lineRule="auto"/>
        <w:rPr>
          <w:rFonts w:ascii="Arial" w:eastAsia="Arial" w:hAnsi="Arial" w:cs="Arial"/>
          <w:sz w:val="20"/>
          <w:szCs w:val="20"/>
        </w:rPr>
      </w:pPr>
      <w:r w:rsidRPr="00F4110D">
        <w:rPr>
          <w:rFonts w:ascii="Arial" w:eastAsia="Arial" w:hAnsi="Arial" w:cs="Arial"/>
          <w:sz w:val="20"/>
          <w:szCs w:val="20"/>
        </w:rPr>
        <w:t xml:space="preserve">Staff and tenants should be aware of systems for evaluating the program and the services given. Tenant and Property Management staff and the on-site Support Provider generally work together to inform tenants about tenancy-related procedures. </w:t>
      </w:r>
    </w:p>
    <w:p w14:paraId="08175D79" w14:textId="2B83B4FF"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Community Building</w:t>
      </w:r>
    </w:p>
    <w:p w14:paraId="62BE2BA9" w14:textId="0F9501A8" w:rsidR="5960DA7B" w:rsidRPr="00F4110D" w:rsidRDefault="5960DA7B" w:rsidP="5960DA7B">
      <w:pPr>
        <w:rPr>
          <w:rFonts w:ascii="Arial" w:eastAsia="Arial" w:hAnsi="Arial" w:cs="Arial"/>
          <w:sz w:val="20"/>
          <w:szCs w:val="20"/>
        </w:rPr>
      </w:pPr>
      <w:r w:rsidRPr="00F4110D">
        <w:rPr>
          <w:rFonts w:ascii="Arial" w:eastAsia="Arial" w:hAnsi="Arial" w:cs="Arial"/>
          <w:sz w:val="20"/>
          <w:szCs w:val="20"/>
        </w:rPr>
        <w:t xml:space="preserve">Many issues mentioned above involve aspects of community building. The tenants as well as the Tenancy and Property management staff and the on-site Support Provider staff are members of the building community and influence the culture of the community.  Staff should be aware of trends in the community and plan strategies for positively influencing the culture. </w:t>
      </w:r>
    </w:p>
    <w:p w14:paraId="28309CDD" w14:textId="01F2616D" w:rsidR="5960DA7B" w:rsidRPr="00F4110D" w:rsidRDefault="5960DA7B" w:rsidP="5960DA7B">
      <w:pPr>
        <w:pStyle w:val="Heading3"/>
        <w:rPr>
          <w:rFonts w:ascii="Arial" w:hAnsi="Arial" w:cs="Arial"/>
          <w:color w:val="1F3763"/>
          <w:sz w:val="20"/>
          <w:szCs w:val="20"/>
        </w:rPr>
      </w:pPr>
      <w:r w:rsidRPr="00F4110D">
        <w:rPr>
          <w:rFonts w:ascii="Arial" w:hAnsi="Arial" w:cs="Arial"/>
          <w:sz w:val="20"/>
          <w:szCs w:val="20"/>
        </w:rPr>
        <w:t>Safety and Security</w:t>
      </w:r>
    </w:p>
    <w:p w14:paraId="653367A2" w14:textId="574BD05E" w:rsidR="5960DA7B" w:rsidRPr="00F4110D" w:rsidRDefault="5960DA7B" w:rsidP="5960DA7B">
      <w:pPr>
        <w:rPr>
          <w:rFonts w:ascii="Arial" w:eastAsia="Arial" w:hAnsi="Arial" w:cs="Arial"/>
          <w:sz w:val="20"/>
          <w:szCs w:val="20"/>
        </w:rPr>
      </w:pPr>
      <w:r w:rsidRPr="00F4110D">
        <w:rPr>
          <w:rFonts w:ascii="Arial" w:eastAsia="Arial" w:hAnsi="Arial" w:cs="Arial"/>
          <w:sz w:val="20"/>
          <w:szCs w:val="20"/>
        </w:rPr>
        <w:t xml:space="preserve">Responsibilities of Tenancy and Property Management Staff: Responsible for ensuring building safety and security; for ongoing inspections and addressing safety/security issues that have been identified. </w:t>
      </w:r>
    </w:p>
    <w:p w14:paraId="2D64D870" w14:textId="40362964" w:rsidR="5960DA7B" w:rsidRPr="00F4110D" w:rsidRDefault="5960DA7B" w:rsidP="5960DA7B">
      <w:pPr>
        <w:rPr>
          <w:sz w:val="20"/>
          <w:szCs w:val="20"/>
        </w:rPr>
      </w:pPr>
      <w:r w:rsidRPr="00F4110D">
        <w:rPr>
          <w:rFonts w:ascii="Arial" w:eastAsia="Arial" w:hAnsi="Arial" w:cs="Arial"/>
          <w:sz w:val="20"/>
          <w:szCs w:val="20"/>
        </w:rPr>
        <w:t>Responsibilities of on-site Support Provider Staff: Responsible for notifying the Tenancy and Property Management regarding security breaches and safety hazards. Provide immediate crisis response to tenants’ emotional wellbeing and safety.</w:t>
      </w:r>
    </w:p>
    <w:sectPr w:rsidR="5960DA7B" w:rsidRPr="00F4110D" w:rsidSect="00375067">
      <w:headerReference w:type="default" r:id="rId13"/>
      <w:footerReference w:type="default" r:id="rId14"/>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5D41" w14:textId="77777777" w:rsidR="00706D64" w:rsidRDefault="00706D64" w:rsidP="00A75521">
      <w:pPr>
        <w:pStyle w:val="Header"/>
      </w:pPr>
      <w:r>
        <w:separator/>
      </w:r>
    </w:p>
  </w:endnote>
  <w:endnote w:type="continuationSeparator" w:id="0">
    <w:p w14:paraId="45ECDCDE" w14:textId="77777777" w:rsidR="00706D64" w:rsidRDefault="00706D64"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698" w14:textId="77777777" w:rsidR="00E219F2" w:rsidRDefault="00E2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929" w14:textId="0385297C" w:rsidR="00812B66" w:rsidRPr="00BC01F0" w:rsidRDefault="00812B66" w:rsidP="00C43994">
    <w:pPr>
      <w:pStyle w:val="Footer"/>
      <w:pBdr>
        <w:top w:val="single" w:sz="4" w:space="1" w:color="auto"/>
      </w:pBdr>
      <w:tabs>
        <w:tab w:val="clear" w:pos="4153"/>
        <w:tab w:val="clear" w:pos="8306"/>
        <w:tab w:val="center" w:pos="4500"/>
        <w:tab w:val="right" w:pos="9072"/>
      </w:tabs>
      <w:rPr>
        <w:rFonts w:ascii="Arial" w:hAnsi="Arial" w:cs="Arial"/>
        <w:sz w:val="16"/>
        <w:szCs w:val="16"/>
      </w:rPr>
    </w:pPr>
    <w:r w:rsidRPr="00BC01F0">
      <w:rPr>
        <w:rFonts w:ascii="Arial" w:hAnsi="Arial" w:cs="Arial"/>
        <w:sz w:val="16"/>
        <w:szCs w:val="16"/>
      </w:rPr>
      <w:fldChar w:fldCharType="begin"/>
    </w:r>
    <w:r w:rsidRPr="00BC01F0">
      <w:rPr>
        <w:rFonts w:ascii="Arial" w:hAnsi="Arial" w:cs="Arial"/>
        <w:sz w:val="16"/>
        <w:szCs w:val="16"/>
      </w:rPr>
      <w:instrText xml:space="preserve"> FILENAME </w:instrText>
    </w:r>
    <w:r w:rsidRPr="00BC01F0">
      <w:rPr>
        <w:rFonts w:ascii="Arial" w:hAnsi="Arial" w:cs="Arial"/>
        <w:sz w:val="16"/>
        <w:szCs w:val="16"/>
      </w:rPr>
      <w:fldChar w:fldCharType="separate"/>
    </w:r>
    <w:r>
      <w:rPr>
        <w:rFonts w:ascii="Arial" w:hAnsi="Arial" w:cs="Arial"/>
        <w:noProof/>
        <w:sz w:val="16"/>
        <w:szCs w:val="16"/>
      </w:rPr>
      <w:t>Supportive Housing Policy</w:t>
    </w:r>
    <w:r w:rsidRPr="00BC01F0">
      <w:rPr>
        <w:rFonts w:ascii="Arial" w:hAnsi="Arial" w:cs="Arial"/>
        <w:sz w:val="16"/>
        <w:szCs w:val="16"/>
      </w:rPr>
      <w:fldChar w:fldCharType="end"/>
    </w:r>
    <w:r>
      <w:rPr>
        <w:rFonts w:ascii="Arial" w:hAnsi="Arial" w:cs="Arial"/>
        <w:sz w:val="16"/>
        <w:szCs w:val="16"/>
      </w:rPr>
      <w:t xml:space="preserve"> – v</w:t>
    </w:r>
    <w:r w:rsidR="00F676DB">
      <w:rPr>
        <w:rFonts w:ascii="Arial" w:hAnsi="Arial" w:cs="Arial"/>
        <w:sz w:val="16"/>
        <w:szCs w:val="16"/>
      </w:rPr>
      <w:t>8</w:t>
    </w:r>
    <w:r>
      <w:rPr>
        <w:rFonts w:ascii="Arial" w:hAnsi="Arial" w:cs="Arial"/>
        <w:sz w:val="16"/>
        <w:szCs w:val="16"/>
      </w:rPr>
      <w:tab/>
    </w:r>
    <w:r w:rsidR="00F676DB">
      <w:rPr>
        <w:rFonts w:ascii="Arial" w:hAnsi="Arial" w:cs="Arial"/>
        <w:sz w:val="16"/>
        <w:szCs w:val="16"/>
      </w:rPr>
      <w:t xml:space="preserve">  </w:t>
    </w:r>
    <w:r w:rsidR="0036529A">
      <w:rPr>
        <w:rFonts w:ascii="Arial" w:hAnsi="Arial" w:cs="Arial"/>
        <w:sz w:val="16"/>
        <w:szCs w:val="16"/>
      </w:rPr>
      <w:t xml:space="preserve">      </w:t>
    </w:r>
    <w:r>
      <w:rPr>
        <w:rFonts w:ascii="Arial" w:hAnsi="Arial" w:cs="Arial"/>
        <w:sz w:val="16"/>
        <w:szCs w:val="16"/>
      </w:rPr>
      <w:tab/>
    </w:r>
    <w:r w:rsidR="00F676DB">
      <w:rPr>
        <w:rFonts w:ascii="Arial" w:hAnsi="Arial" w:cs="Arial"/>
        <w:sz w:val="16"/>
        <w:szCs w:val="16"/>
      </w:rPr>
      <w:t xml:space="preserve">              </w:t>
    </w:r>
    <w:r w:rsidRPr="00BC01F0">
      <w:rPr>
        <w:rFonts w:ascii="Arial" w:hAnsi="Arial" w:cs="Arial"/>
        <w:sz w:val="16"/>
        <w:szCs w:val="16"/>
      </w:rPr>
      <w:t xml:space="preserve">Page </w:t>
    </w:r>
    <w:r w:rsidRPr="00BC01F0">
      <w:rPr>
        <w:rFonts w:ascii="Arial" w:hAnsi="Arial" w:cs="Arial"/>
        <w:sz w:val="16"/>
        <w:szCs w:val="16"/>
      </w:rPr>
      <w:fldChar w:fldCharType="begin"/>
    </w:r>
    <w:r w:rsidRPr="00BC01F0">
      <w:rPr>
        <w:rFonts w:ascii="Arial" w:hAnsi="Arial" w:cs="Arial"/>
        <w:sz w:val="16"/>
        <w:szCs w:val="16"/>
      </w:rPr>
      <w:instrText xml:space="preserve"> PAGE </w:instrText>
    </w:r>
    <w:r w:rsidRPr="00BC01F0">
      <w:rPr>
        <w:rFonts w:ascii="Arial" w:hAnsi="Arial" w:cs="Arial"/>
        <w:sz w:val="16"/>
        <w:szCs w:val="16"/>
      </w:rPr>
      <w:fldChar w:fldCharType="separate"/>
    </w:r>
    <w:r w:rsidR="00856C16">
      <w:rPr>
        <w:rFonts w:ascii="Arial" w:hAnsi="Arial" w:cs="Arial"/>
        <w:noProof/>
        <w:sz w:val="16"/>
        <w:szCs w:val="16"/>
      </w:rPr>
      <w:t>2</w:t>
    </w:r>
    <w:r w:rsidRPr="00BC01F0">
      <w:rPr>
        <w:rFonts w:ascii="Arial" w:hAnsi="Arial" w:cs="Arial"/>
        <w:sz w:val="16"/>
        <w:szCs w:val="16"/>
      </w:rPr>
      <w:fldChar w:fldCharType="end"/>
    </w:r>
    <w:r w:rsidRPr="00BC01F0">
      <w:rPr>
        <w:rFonts w:ascii="Arial" w:hAnsi="Arial" w:cs="Arial"/>
        <w:sz w:val="16"/>
        <w:szCs w:val="16"/>
      </w:rPr>
      <w:t xml:space="preserve"> of </w:t>
    </w:r>
    <w:r w:rsidRPr="00BC01F0">
      <w:rPr>
        <w:rFonts w:ascii="Arial" w:hAnsi="Arial" w:cs="Arial"/>
        <w:sz w:val="16"/>
        <w:szCs w:val="16"/>
      </w:rPr>
      <w:fldChar w:fldCharType="begin"/>
    </w:r>
    <w:r w:rsidRPr="00BC01F0">
      <w:rPr>
        <w:rFonts w:ascii="Arial" w:hAnsi="Arial" w:cs="Arial"/>
        <w:sz w:val="16"/>
        <w:szCs w:val="16"/>
      </w:rPr>
      <w:instrText xml:space="preserve"> NUMPAGES </w:instrText>
    </w:r>
    <w:r w:rsidRPr="00BC01F0">
      <w:rPr>
        <w:rFonts w:ascii="Arial" w:hAnsi="Arial" w:cs="Arial"/>
        <w:sz w:val="16"/>
        <w:szCs w:val="16"/>
      </w:rPr>
      <w:fldChar w:fldCharType="separate"/>
    </w:r>
    <w:r w:rsidR="00856C16">
      <w:rPr>
        <w:rFonts w:ascii="Arial" w:hAnsi="Arial" w:cs="Arial"/>
        <w:noProof/>
        <w:sz w:val="16"/>
        <w:szCs w:val="16"/>
      </w:rPr>
      <w:t>3</w:t>
    </w:r>
    <w:r w:rsidRPr="00BC01F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97D9" w14:textId="77777777" w:rsidR="00E219F2" w:rsidRDefault="00E219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1D3E" w14:textId="218F6344" w:rsidR="008E2183" w:rsidRPr="00BC01F0" w:rsidRDefault="008E2183" w:rsidP="00C43994">
    <w:pPr>
      <w:pStyle w:val="Footer"/>
      <w:pBdr>
        <w:top w:val="single" w:sz="4" w:space="1" w:color="auto"/>
      </w:pBdr>
      <w:tabs>
        <w:tab w:val="clear" w:pos="4153"/>
        <w:tab w:val="clear" w:pos="8306"/>
        <w:tab w:val="center" w:pos="4500"/>
        <w:tab w:val="right" w:pos="9072"/>
      </w:tabs>
      <w:rPr>
        <w:rFonts w:ascii="Arial" w:hAnsi="Arial" w:cs="Arial"/>
        <w:sz w:val="16"/>
        <w:szCs w:val="16"/>
      </w:rPr>
    </w:pPr>
    <w:r w:rsidRPr="00BC01F0">
      <w:rPr>
        <w:rFonts w:ascii="Arial" w:hAnsi="Arial" w:cs="Arial"/>
        <w:sz w:val="16"/>
        <w:szCs w:val="16"/>
      </w:rPr>
      <w:fldChar w:fldCharType="begin"/>
    </w:r>
    <w:r w:rsidRPr="00BC01F0">
      <w:rPr>
        <w:rFonts w:ascii="Arial" w:hAnsi="Arial" w:cs="Arial"/>
        <w:sz w:val="16"/>
        <w:szCs w:val="16"/>
      </w:rPr>
      <w:instrText xml:space="preserve"> FILENAME </w:instrText>
    </w:r>
    <w:r w:rsidRPr="00BC01F0">
      <w:rPr>
        <w:rFonts w:ascii="Arial" w:hAnsi="Arial" w:cs="Arial"/>
        <w:sz w:val="16"/>
        <w:szCs w:val="16"/>
      </w:rPr>
      <w:fldChar w:fldCharType="separate"/>
    </w:r>
    <w:r>
      <w:rPr>
        <w:rFonts w:ascii="Arial" w:hAnsi="Arial" w:cs="Arial"/>
        <w:noProof/>
        <w:sz w:val="16"/>
        <w:szCs w:val="16"/>
      </w:rPr>
      <w:t>Supportive Housing Policy</w:t>
    </w:r>
    <w:r w:rsidRPr="00BC01F0">
      <w:rPr>
        <w:rFonts w:ascii="Arial" w:hAnsi="Arial" w:cs="Arial"/>
        <w:sz w:val="16"/>
        <w:szCs w:val="16"/>
      </w:rPr>
      <w:fldChar w:fldCharType="end"/>
    </w:r>
    <w:r>
      <w:rPr>
        <w:rFonts w:ascii="Arial" w:hAnsi="Arial" w:cs="Arial"/>
        <w:sz w:val="16"/>
        <w:szCs w:val="16"/>
      </w:rPr>
      <w:t xml:space="preserve"> – v8</w:t>
    </w:r>
    <w:r>
      <w:rPr>
        <w:rFonts w:ascii="Arial" w:hAnsi="Arial" w:cs="Arial"/>
        <w:sz w:val="16"/>
        <w:szCs w:val="16"/>
      </w:rPr>
      <w:tab/>
      <w:t xml:space="preserve">        </w:t>
    </w:r>
    <w:r w:rsidR="004A13C8">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C01F0">
      <w:rPr>
        <w:rFonts w:ascii="Arial" w:hAnsi="Arial" w:cs="Arial"/>
        <w:sz w:val="16"/>
        <w:szCs w:val="16"/>
      </w:rPr>
      <w:t xml:space="preserve">Page </w:t>
    </w:r>
    <w:r w:rsidRPr="00BC01F0">
      <w:rPr>
        <w:rFonts w:ascii="Arial" w:hAnsi="Arial" w:cs="Arial"/>
        <w:sz w:val="16"/>
        <w:szCs w:val="16"/>
      </w:rPr>
      <w:fldChar w:fldCharType="begin"/>
    </w:r>
    <w:r w:rsidRPr="00BC01F0">
      <w:rPr>
        <w:rFonts w:ascii="Arial" w:hAnsi="Arial" w:cs="Arial"/>
        <w:sz w:val="16"/>
        <w:szCs w:val="16"/>
      </w:rPr>
      <w:instrText xml:space="preserve"> PAGE </w:instrText>
    </w:r>
    <w:r w:rsidRPr="00BC01F0">
      <w:rPr>
        <w:rFonts w:ascii="Arial" w:hAnsi="Arial" w:cs="Arial"/>
        <w:sz w:val="16"/>
        <w:szCs w:val="16"/>
      </w:rPr>
      <w:fldChar w:fldCharType="separate"/>
    </w:r>
    <w:r w:rsidR="00856C16">
      <w:rPr>
        <w:rFonts w:ascii="Arial" w:hAnsi="Arial" w:cs="Arial"/>
        <w:noProof/>
        <w:sz w:val="16"/>
        <w:szCs w:val="16"/>
      </w:rPr>
      <w:t>3</w:t>
    </w:r>
    <w:r w:rsidRPr="00BC01F0">
      <w:rPr>
        <w:rFonts w:ascii="Arial" w:hAnsi="Arial" w:cs="Arial"/>
        <w:sz w:val="16"/>
        <w:szCs w:val="16"/>
      </w:rPr>
      <w:fldChar w:fldCharType="end"/>
    </w:r>
    <w:r w:rsidRPr="00BC01F0">
      <w:rPr>
        <w:rFonts w:ascii="Arial" w:hAnsi="Arial" w:cs="Arial"/>
        <w:sz w:val="16"/>
        <w:szCs w:val="16"/>
      </w:rPr>
      <w:t xml:space="preserve"> of </w:t>
    </w:r>
    <w:r w:rsidRPr="00BC01F0">
      <w:rPr>
        <w:rFonts w:ascii="Arial" w:hAnsi="Arial" w:cs="Arial"/>
        <w:sz w:val="16"/>
        <w:szCs w:val="16"/>
      </w:rPr>
      <w:fldChar w:fldCharType="begin"/>
    </w:r>
    <w:r w:rsidRPr="00BC01F0">
      <w:rPr>
        <w:rFonts w:ascii="Arial" w:hAnsi="Arial" w:cs="Arial"/>
        <w:sz w:val="16"/>
        <w:szCs w:val="16"/>
      </w:rPr>
      <w:instrText xml:space="preserve"> NUMPAGES </w:instrText>
    </w:r>
    <w:r w:rsidRPr="00BC01F0">
      <w:rPr>
        <w:rFonts w:ascii="Arial" w:hAnsi="Arial" w:cs="Arial"/>
        <w:sz w:val="16"/>
        <w:szCs w:val="16"/>
      </w:rPr>
      <w:fldChar w:fldCharType="separate"/>
    </w:r>
    <w:r w:rsidR="00856C16">
      <w:rPr>
        <w:rFonts w:ascii="Arial" w:hAnsi="Arial" w:cs="Arial"/>
        <w:noProof/>
        <w:sz w:val="16"/>
        <w:szCs w:val="16"/>
      </w:rPr>
      <w:t>3</w:t>
    </w:r>
    <w:r w:rsidRPr="00BC01F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9263" w14:textId="77777777" w:rsidR="00706D64" w:rsidRDefault="00706D64" w:rsidP="00A75521">
      <w:pPr>
        <w:pStyle w:val="Header"/>
      </w:pPr>
      <w:r>
        <w:separator/>
      </w:r>
    </w:p>
  </w:footnote>
  <w:footnote w:type="continuationSeparator" w:id="0">
    <w:p w14:paraId="4EAA54A4" w14:textId="77777777" w:rsidR="00706D64" w:rsidRDefault="00706D64"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CE2" w14:textId="77777777" w:rsidR="00E219F2" w:rsidRDefault="00E21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9FFB" w14:textId="16E6F549" w:rsidR="00812B66" w:rsidRPr="00CD19FA" w:rsidRDefault="007B637F" w:rsidP="00E219F2">
    <w:pPr>
      <w:pStyle w:val="Header"/>
      <w:jc w:val="right"/>
      <w:rPr>
        <w:rFonts w:ascii="Arial" w:hAnsi="Arial" w:cs="Arial"/>
      </w:rPr>
    </w:pPr>
    <w:r>
      <w:rPr>
        <w:rFonts w:ascii="Arial" w:hAnsi="Arial" w:cs="Arial"/>
        <w:noProof/>
      </w:rPr>
      <w:drawing>
        <wp:inline distT="0" distB="0" distL="0" distR="0" wp14:anchorId="3379FC60" wp14:editId="3119255D">
          <wp:extent cx="1123950" cy="613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3950" cy="6132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6B79" w14:textId="77777777" w:rsidR="00E219F2" w:rsidRDefault="00E219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02F3" w14:textId="4BF6E63D" w:rsidR="00B5510C" w:rsidRPr="00CD19FA" w:rsidRDefault="007B637F">
    <w:pPr>
      <w:pStyle w:val="Header"/>
      <w:rPr>
        <w:rFonts w:ascii="Arial" w:hAnsi="Arial" w:cs="Arial"/>
      </w:rPr>
    </w:pPr>
    <w:r>
      <w:rPr>
        <w:noProof/>
      </w:rPr>
      <w:drawing>
        <wp:inline distT="0" distB="0" distL="0" distR="0" wp14:anchorId="59EB9F41" wp14:editId="561CB73C">
          <wp:extent cx="1123950" cy="790575"/>
          <wp:effectExtent l="0" t="0" r="0" b="9525"/>
          <wp:docPr id="2" name="Picture 2" descr="Common Ground Queen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 Ground Queens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FFD"/>
    <w:multiLevelType w:val="multilevel"/>
    <w:tmpl w:val="169601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C419B"/>
    <w:multiLevelType w:val="hybridMultilevel"/>
    <w:tmpl w:val="C4E61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16513"/>
    <w:multiLevelType w:val="hybridMultilevel"/>
    <w:tmpl w:val="9C12C9BC"/>
    <w:lvl w:ilvl="0" w:tplc="B06EF2DA">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D2B85"/>
    <w:multiLevelType w:val="hybridMultilevel"/>
    <w:tmpl w:val="74CC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243C59"/>
    <w:multiLevelType w:val="hybridMultilevel"/>
    <w:tmpl w:val="7D42E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285830"/>
    <w:multiLevelType w:val="hybridMultilevel"/>
    <w:tmpl w:val="C48E1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247FC"/>
    <w:multiLevelType w:val="hybridMultilevel"/>
    <w:tmpl w:val="8EA6E6A0"/>
    <w:lvl w:ilvl="0" w:tplc="77009B02">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33150"/>
    <w:multiLevelType w:val="multilevel"/>
    <w:tmpl w:val="97365CAE"/>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31D63"/>
    <w:multiLevelType w:val="hybridMultilevel"/>
    <w:tmpl w:val="16960166"/>
    <w:lvl w:ilvl="0" w:tplc="0D8627F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C5F1F"/>
    <w:multiLevelType w:val="hybridMultilevel"/>
    <w:tmpl w:val="9DCAEA34"/>
    <w:lvl w:ilvl="0" w:tplc="199E306A">
      <w:start w:val="1"/>
      <w:numFmt w:val="bullet"/>
      <w:lvlText w:val=""/>
      <w:lvlJc w:val="left"/>
      <w:pPr>
        <w:tabs>
          <w:tab w:val="num" w:pos="360"/>
        </w:tabs>
        <w:ind w:left="360" w:hanging="360"/>
      </w:pPr>
      <w:rPr>
        <w:rFonts w:ascii="Symbol" w:hAnsi="Symbol" w:hint="default"/>
        <w:color w:val="000000"/>
        <w:sz w:val="16"/>
      </w:rPr>
    </w:lvl>
    <w:lvl w:ilvl="1" w:tplc="A060E954">
      <w:start w:val="23"/>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14"/>
  </w:num>
  <w:num w:numId="6">
    <w:abstractNumId w:val="6"/>
  </w:num>
  <w:num w:numId="7">
    <w:abstractNumId w:val="13"/>
  </w:num>
  <w:num w:numId="8">
    <w:abstractNumId w:val="15"/>
  </w:num>
  <w:num w:numId="9">
    <w:abstractNumId w:val="4"/>
  </w:num>
  <w:num w:numId="10">
    <w:abstractNumId w:val="0"/>
  </w:num>
  <w:num w:numId="11">
    <w:abstractNumId w:val="10"/>
  </w:num>
  <w:num w:numId="12">
    <w:abstractNumId w:val="12"/>
  </w:num>
  <w:num w:numId="13">
    <w:abstractNumId w:val="16"/>
  </w:num>
  <w:num w:numId="14">
    <w:abstractNumId w:val="7"/>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A"/>
    <w:rsid w:val="000140A2"/>
    <w:rsid w:val="00016B1B"/>
    <w:rsid w:val="0002220D"/>
    <w:rsid w:val="00025C14"/>
    <w:rsid w:val="00025CD5"/>
    <w:rsid w:val="00035973"/>
    <w:rsid w:val="000518BD"/>
    <w:rsid w:val="00073C7E"/>
    <w:rsid w:val="000B3504"/>
    <w:rsid w:val="000C5678"/>
    <w:rsid w:val="000C6C49"/>
    <w:rsid w:val="000D1273"/>
    <w:rsid w:val="000D5EF8"/>
    <w:rsid w:val="000E3A99"/>
    <w:rsid w:val="000F2654"/>
    <w:rsid w:val="000F331D"/>
    <w:rsid w:val="000F3750"/>
    <w:rsid w:val="000F3F2E"/>
    <w:rsid w:val="001033B6"/>
    <w:rsid w:val="00121B8F"/>
    <w:rsid w:val="0012212C"/>
    <w:rsid w:val="0012355B"/>
    <w:rsid w:val="00124FD0"/>
    <w:rsid w:val="001315D1"/>
    <w:rsid w:val="00132327"/>
    <w:rsid w:val="00133A48"/>
    <w:rsid w:val="00143DB2"/>
    <w:rsid w:val="00164B0F"/>
    <w:rsid w:val="00165FDE"/>
    <w:rsid w:val="00170B46"/>
    <w:rsid w:val="00177F51"/>
    <w:rsid w:val="00194107"/>
    <w:rsid w:val="001975B0"/>
    <w:rsid w:val="001A53CB"/>
    <w:rsid w:val="001B1677"/>
    <w:rsid w:val="001B30C0"/>
    <w:rsid w:val="001C7293"/>
    <w:rsid w:val="001D16BF"/>
    <w:rsid w:val="001D2C9C"/>
    <w:rsid w:val="002052B2"/>
    <w:rsid w:val="002113D5"/>
    <w:rsid w:val="00226B0C"/>
    <w:rsid w:val="002278BD"/>
    <w:rsid w:val="00231FBD"/>
    <w:rsid w:val="00237FF7"/>
    <w:rsid w:val="002407A2"/>
    <w:rsid w:val="00242210"/>
    <w:rsid w:val="00246C07"/>
    <w:rsid w:val="002713BA"/>
    <w:rsid w:val="00272DF7"/>
    <w:rsid w:val="00290616"/>
    <w:rsid w:val="00292043"/>
    <w:rsid w:val="002B4FD7"/>
    <w:rsid w:val="002C1B80"/>
    <w:rsid w:val="002C3B0A"/>
    <w:rsid w:val="002C51F4"/>
    <w:rsid w:val="002D3D02"/>
    <w:rsid w:val="002D6ADA"/>
    <w:rsid w:val="002D7C47"/>
    <w:rsid w:val="002F28C1"/>
    <w:rsid w:val="00300E69"/>
    <w:rsid w:val="00316D35"/>
    <w:rsid w:val="00326E43"/>
    <w:rsid w:val="00332D2C"/>
    <w:rsid w:val="00343A35"/>
    <w:rsid w:val="003475E0"/>
    <w:rsid w:val="003572CC"/>
    <w:rsid w:val="0036529A"/>
    <w:rsid w:val="00366290"/>
    <w:rsid w:val="00374484"/>
    <w:rsid w:val="00375067"/>
    <w:rsid w:val="00386926"/>
    <w:rsid w:val="00390B8A"/>
    <w:rsid w:val="00390BED"/>
    <w:rsid w:val="00393C5C"/>
    <w:rsid w:val="00393E4E"/>
    <w:rsid w:val="003B5EF6"/>
    <w:rsid w:val="003D04DD"/>
    <w:rsid w:val="003D72BF"/>
    <w:rsid w:val="00406412"/>
    <w:rsid w:val="00407A9D"/>
    <w:rsid w:val="0041203D"/>
    <w:rsid w:val="00416305"/>
    <w:rsid w:val="00416DF9"/>
    <w:rsid w:val="00420758"/>
    <w:rsid w:val="00424C4B"/>
    <w:rsid w:val="00431953"/>
    <w:rsid w:val="004617BA"/>
    <w:rsid w:val="00470070"/>
    <w:rsid w:val="00475B8A"/>
    <w:rsid w:val="00482DD0"/>
    <w:rsid w:val="00495817"/>
    <w:rsid w:val="00496038"/>
    <w:rsid w:val="004A13C8"/>
    <w:rsid w:val="004A5249"/>
    <w:rsid w:val="004E39F3"/>
    <w:rsid w:val="004E3D68"/>
    <w:rsid w:val="004F68DF"/>
    <w:rsid w:val="005029C4"/>
    <w:rsid w:val="00503CCC"/>
    <w:rsid w:val="005134A3"/>
    <w:rsid w:val="00515F97"/>
    <w:rsid w:val="00524E72"/>
    <w:rsid w:val="005455EB"/>
    <w:rsid w:val="00551CA9"/>
    <w:rsid w:val="005652E9"/>
    <w:rsid w:val="00572AAC"/>
    <w:rsid w:val="005842E6"/>
    <w:rsid w:val="005A516D"/>
    <w:rsid w:val="005B01F2"/>
    <w:rsid w:val="005D1186"/>
    <w:rsid w:val="005E0C71"/>
    <w:rsid w:val="005E2D41"/>
    <w:rsid w:val="0061350B"/>
    <w:rsid w:val="00617018"/>
    <w:rsid w:val="00620857"/>
    <w:rsid w:val="006534EA"/>
    <w:rsid w:val="00655DEC"/>
    <w:rsid w:val="00655E42"/>
    <w:rsid w:val="00671400"/>
    <w:rsid w:val="00684AFE"/>
    <w:rsid w:val="00692C37"/>
    <w:rsid w:val="0069377B"/>
    <w:rsid w:val="006B2D3A"/>
    <w:rsid w:val="006B354E"/>
    <w:rsid w:val="006F2F2B"/>
    <w:rsid w:val="006F3E42"/>
    <w:rsid w:val="00704353"/>
    <w:rsid w:val="00706D64"/>
    <w:rsid w:val="00707F2A"/>
    <w:rsid w:val="007113DD"/>
    <w:rsid w:val="007149EE"/>
    <w:rsid w:val="00715379"/>
    <w:rsid w:val="00763EB8"/>
    <w:rsid w:val="00770990"/>
    <w:rsid w:val="00770CBF"/>
    <w:rsid w:val="00770DD1"/>
    <w:rsid w:val="007958A2"/>
    <w:rsid w:val="007A5D9F"/>
    <w:rsid w:val="007B2EDB"/>
    <w:rsid w:val="007B637F"/>
    <w:rsid w:val="007C77F0"/>
    <w:rsid w:val="007E2DAF"/>
    <w:rsid w:val="007E5058"/>
    <w:rsid w:val="007E551C"/>
    <w:rsid w:val="007F5E2E"/>
    <w:rsid w:val="00812B66"/>
    <w:rsid w:val="00812B7C"/>
    <w:rsid w:val="008133A8"/>
    <w:rsid w:val="008248DE"/>
    <w:rsid w:val="00845828"/>
    <w:rsid w:val="00851369"/>
    <w:rsid w:val="00854508"/>
    <w:rsid w:val="00856789"/>
    <w:rsid w:val="00856C16"/>
    <w:rsid w:val="008626FE"/>
    <w:rsid w:val="00874912"/>
    <w:rsid w:val="00877388"/>
    <w:rsid w:val="00891257"/>
    <w:rsid w:val="008A33BA"/>
    <w:rsid w:val="008A5163"/>
    <w:rsid w:val="008B01CB"/>
    <w:rsid w:val="008B6F0D"/>
    <w:rsid w:val="008C2D01"/>
    <w:rsid w:val="008C3D08"/>
    <w:rsid w:val="008D0B85"/>
    <w:rsid w:val="008E2183"/>
    <w:rsid w:val="008E43AF"/>
    <w:rsid w:val="008F7F04"/>
    <w:rsid w:val="00922C3E"/>
    <w:rsid w:val="00924B0B"/>
    <w:rsid w:val="00931336"/>
    <w:rsid w:val="00942BB8"/>
    <w:rsid w:val="0094326A"/>
    <w:rsid w:val="00947640"/>
    <w:rsid w:val="00957CD4"/>
    <w:rsid w:val="00974CE0"/>
    <w:rsid w:val="009835C0"/>
    <w:rsid w:val="009879A9"/>
    <w:rsid w:val="009930CC"/>
    <w:rsid w:val="009A131E"/>
    <w:rsid w:val="009A4974"/>
    <w:rsid w:val="009B1EC4"/>
    <w:rsid w:val="009C1DAA"/>
    <w:rsid w:val="009D134B"/>
    <w:rsid w:val="009D27D4"/>
    <w:rsid w:val="009D4A75"/>
    <w:rsid w:val="009E0506"/>
    <w:rsid w:val="009E3A3F"/>
    <w:rsid w:val="009F0F67"/>
    <w:rsid w:val="009F28DD"/>
    <w:rsid w:val="009F4247"/>
    <w:rsid w:val="00A205F9"/>
    <w:rsid w:val="00A27FF1"/>
    <w:rsid w:val="00A4463E"/>
    <w:rsid w:val="00A45841"/>
    <w:rsid w:val="00A50ED7"/>
    <w:rsid w:val="00A525BA"/>
    <w:rsid w:val="00A53807"/>
    <w:rsid w:val="00A71F09"/>
    <w:rsid w:val="00A75521"/>
    <w:rsid w:val="00A81008"/>
    <w:rsid w:val="00A87E0F"/>
    <w:rsid w:val="00A91863"/>
    <w:rsid w:val="00A93154"/>
    <w:rsid w:val="00AC4F10"/>
    <w:rsid w:val="00AD2E0F"/>
    <w:rsid w:val="00AD46E2"/>
    <w:rsid w:val="00AF1A62"/>
    <w:rsid w:val="00AF424D"/>
    <w:rsid w:val="00AF74BA"/>
    <w:rsid w:val="00B01A1B"/>
    <w:rsid w:val="00B04706"/>
    <w:rsid w:val="00B0487E"/>
    <w:rsid w:val="00B074BC"/>
    <w:rsid w:val="00B102EF"/>
    <w:rsid w:val="00B109B8"/>
    <w:rsid w:val="00B43185"/>
    <w:rsid w:val="00B4403B"/>
    <w:rsid w:val="00B5510C"/>
    <w:rsid w:val="00B65759"/>
    <w:rsid w:val="00B81173"/>
    <w:rsid w:val="00B81952"/>
    <w:rsid w:val="00BA399B"/>
    <w:rsid w:val="00BC01F0"/>
    <w:rsid w:val="00BC1307"/>
    <w:rsid w:val="00C05192"/>
    <w:rsid w:val="00C079B3"/>
    <w:rsid w:val="00C260B2"/>
    <w:rsid w:val="00C34B8A"/>
    <w:rsid w:val="00C43527"/>
    <w:rsid w:val="00C43994"/>
    <w:rsid w:val="00C507C6"/>
    <w:rsid w:val="00C519D1"/>
    <w:rsid w:val="00C603AE"/>
    <w:rsid w:val="00C6069E"/>
    <w:rsid w:val="00C858D5"/>
    <w:rsid w:val="00CA4EA7"/>
    <w:rsid w:val="00CA5B7E"/>
    <w:rsid w:val="00CB3B9E"/>
    <w:rsid w:val="00CD19FA"/>
    <w:rsid w:val="00D004DF"/>
    <w:rsid w:val="00D27C41"/>
    <w:rsid w:val="00D33886"/>
    <w:rsid w:val="00D36D02"/>
    <w:rsid w:val="00D4395D"/>
    <w:rsid w:val="00D47555"/>
    <w:rsid w:val="00D517C8"/>
    <w:rsid w:val="00D5414F"/>
    <w:rsid w:val="00D645A8"/>
    <w:rsid w:val="00D80879"/>
    <w:rsid w:val="00D8345C"/>
    <w:rsid w:val="00D94492"/>
    <w:rsid w:val="00D96F5D"/>
    <w:rsid w:val="00DA1C8F"/>
    <w:rsid w:val="00DA5D0B"/>
    <w:rsid w:val="00DA6DF0"/>
    <w:rsid w:val="00DC7635"/>
    <w:rsid w:val="00DD324B"/>
    <w:rsid w:val="00DD7CF3"/>
    <w:rsid w:val="00DE076F"/>
    <w:rsid w:val="00DE342F"/>
    <w:rsid w:val="00DE5344"/>
    <w:rsid w:val="00DF25B0"/>
    <w:rsid w:val="00E04F51"/>
    <w:rsid w:val="00E05E68"/>
    <w:rsid w:val="00E1063C"/>
    <w:rsid w:val="00E11962"/>
    <w:rsid w:val="00E20608"/>
    <w:rsid w:val="00E20BBD"/>
    <w:rsid w:val="00E213B1"/>
    <w:rsid w:val="00E219F2"/>
    <w:rsid w:val="00E456E9"/>
    <w:rsid w:val="00E45CAC"/>
    <w:rsid w:val="00E47866"/>
    <w:rsid w:val="00E50728"/>
    <w:rsid w:val="00E5741E"/>
    <w:rsid w:val="00E65032"/>
    <w:rsid w:val="00E714D1"/>
    <w:rsid w:val="00E71C5E"/>
    <w:rsid w:val="00E73094"/>
    <w:rsid w:val="00E751FC"/>
    <w:rsid w:val="00E955B1"/>
    <w:rsid w:val="00E9563D"/>
    <w:rsid w:val="00EA19A2"/>
    <w:rsid w:val="00EA1D10"/>
    <w:rsid w:val="00EC378D"/>
    <w:rsid w:val="00EE3F84"/>
    <w:rsid w:val="00EF77C5"/>
    <w:rsid w:val="00F043F2"/>
    <w:rsid w:val="00F10D6D"/>
    <w:rsid w:val="00F23F49"/>
    <w:rsid w:val="00F32B6B"/>
    <w:rsid w:val="00F409B4"/>
    <w:rsid w:val="00F4110D"/>
    <w:rsid w:val="00F42649"/>
    <w:rsid w:val="00F43C60"/>
    <w:rsid w:val="00F44C10"/>
    <w:rsid w:val="00F64A70"/>
    <w:rsid w:val="00F65979"/>
    <w:rsid w:val="00F676DB"/>
    <w:rsid w:val="00F74A19"/>
    <w:rsid w:val="00F74BB2"/>
    <w:rsid w:val="00F82653"/>
    <w:rsid w:val="00FB1BAB"/>
    <w:rsid w:val="00FC5462"/>
    <w:rsid w:val="00FD031F"/>
    <w:rsid w:val="00FD5677"/>
    <w:rsid w:val="00FE0626"/>
    <w:rsid w:val="00FE38FF"/>
    <w:rsid w:val="1F09570C"/>
    <w:rsid w:val="28F40151"/>
    <w:rsid w:val="3D889368"/>
    <w:rsid w:val="3F152130"/>
    <w:rsid w:val="4E927A25"/>
    <w:rsid w:val="5960D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3CC4FDC"/>
  <w15:chartTrackingRefBased/>
  <w15:docId w15:val="{86325446-C06C-49CA-838F-E94ED6E8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F0F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F0F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F0F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5817"/>
    <w:rPr>
      <w:rFonts w:ascii="Tahoma" w:hAnsi="Tahoma" w:cs="Tahoma"/>
      <w:sz w:val="16"/>
      <w:szCs w:val="16"/>
    </w:rPr>
  </w:style>
  <w:style w:type="character" w:styleId="CommentReference">
    <w:name w:val="annotation reference"/>
    <w:semiHidden/>
    <w:rsid w:val="000F3750"/>
    <w:rPr>
      <w:sz w:val="16"/>
      <w:szCs w:val="16"/>
    </w:rPr>
  </w:style>
  <w:style w:type="paragraph" w:styleId="CommentText">
    <w:name w:val="annotation text"/>
    <w:basedOn w:val="Normal"/>
    <w:semiHidden/>
    <w:rsid w:val="000F3750"/>
    <w:rPr>
      <w:sz w:val="20"/>
      <w:szCs w:val="20"/>
    </w:rPr>
  </w:style>
  <w:style w:type="paragraph" w:styleId="CommentSubject">
    <w:name w:val="annotation subject"/>
    <w:basedOn w:val="CommentText"/>
    <w:next w:val="CommentText"/>
    <w:semiHidden/>
    <w:rsid w:val="000F3750"/>
    <w:rPr>
      <w:b/>
      <w:bCs/>
    </w:rPr>
  </w:style>
  <w:style w:type="paragraph" w:styleId="EndnoteText">
    <w:name w:val="endnote text"/>
    <w:basedOn w:val="Normal"/>
    <w:link w:val="EndnoteTextChar"/>
    <w:rsid w:val="00877388"/>
    <w:rPr>
      <w:sz w:val="20"/>
      <w:szCs w:val="20"/>
    </w:rPr>
  </w:style>
  <w:style w:type="character" w:customStyle="1" w:styleId="EndnoteTextChar">
    <w:name w:val="Endnote Text Char"/>
    <w:basedOn w:val="DefaultParagraphFont"/>
    <w:link w:val="EndnoteText"/>
    <w:rsid w:val="00877388"/>
  </w:style>
  <w:style w:type="character" w:styleId="EndnoteReference">
    <w:name w:val="endnote reference"/>
    <w:rsid w:val="00877388"/>
    <w:rPr>
      <w:vertAlign w:val="superscript"/>
    </w:rPr>
  </w:style>
  <w:style w:type="paragraph" w:styleId="NormalWeb">
    <w:name w:val="Normal (Web)"/>
    <w:basedOn w:val="Normal"/>
    <w:uiPriority w:val="99"/>
    <w:unhideWhenUsed/>
    <w:rsid w:val="000B3504"/>
    <w:rPr>
      <w:rFonts w:eastAsia="Calibri"/>
    </w:rPr>
  </w:style>
  <w:style w:type="paragraph" w:customStyle="1" w:styleId="CGQHeading">
    <w:name w:val="CGQ Heading"/>
    <w:basedOn w:val="Normal"/>
    <w:link w:val="CGQHeadingChar"/>
    <w:qFormat/>
    <w:rsid w:val="007B637F"/>
    <w:pPr>
      <w:spacing w:line="280" w:lineRule="atLeast"/>
    </w:pPr>
    <w:rPr>
      <w:rFonts w:ascii="Arial" w:hAnsi="Arial" w:cs="Arial"/>
      <w:b/>
    </w:rPr>
  </w:style>
  <w:style w:type="paragraph" w:customStyle="1" w:styleId="CGQSubheading">
    <w:name w:val="CGQ Subheading"/>
    <w:basedOn w:val="Normal"/>
    <w:link w:val="CGQSubheadingChar"/>
    <w:qFormat/>
    <w:rsid w:val="007B637F"/>
    <w:pPr>
      <w:spacing w:line="280" w:lineRule="atLeast"/>
    </w:pPr>
    <w:rPr>
      <w:rFonts w:ascii="Arial" w:hAnsi="Arial" w:cs="Arial"/>
      <w:b/>
      <w:sz w:val="20"/>
      <w:szCs w:val="20"/>
    </w:rPr>
  </w:style>
  <w:style w:type="character" w:customStyle="1" w:styleId="CGQHeadingChar">
    <w:name w:val="CGQ Heading Char"/>
    <w:basedOn w:val="DefaultParagraphFont"/>
    <w:link w:val="CGQHeading"/>
    <w:rsid w:val="007B637F"/>
    <w:rPr>
      <w:rFonts w:ascii="Arial" w:hAnsi="Arial" w:cs="Arial"/>
      <w:b/>
      <w:sz w:val="24"/>
      <w:szCs w:val="24"/>
    </w:rPr>
  </w:style>
  <w:style w:type="table" w:styleId="TableWeb2">
    <w:name w:val="Table Web 2"/>
    <w:basedOn w:val="TableNormal"/>
    <w:rsid w:val="000140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GQSubheadingChar">
    <w:name w:val="CGQ Subheading Char"/>
    <w:basedOn w:val="DefaultParagraphFont"/>
    <w:link w:val="CGQSubheading"/>
    <w:rsid w:val="007B637F"/>
    <w:rPr>
      <w:rFonts w:ascii="Arial" w:hAnsi="Arial" w:cs="Arial"/>
      <w:b/>
    </w:rPr>
  </w:style>
  <w:style w:type="paragraph" w:styleId="Title">
    <w:name w:val="Title"/>
    <w:basedOn w:val="Normal"/>
    <w:next w:val="Normal"/>
    <w:link w:val="TitleChar"/>
    <w:qFormat/>
    <w:rsid w:val="009F0F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0F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F0F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F0F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9F0F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1" ma:contentTypeDescription="Create a new document." ma:contentTypeScope="" ma:versionID="c84501f6bd5e7a7f6ab667342d865b96">
  <xsd:schema xmlns:xsd="http://www.w3.org/2001/XMLSchema" xmlns:xs="http://www.w3.org/2001/XMLSchema" xmlns:p="http://schemas.microsoft.com/office/2006/metadata/properties" xmlns:ns2="660c5c05-d9db-4dac-919e-33fa97c2c359" targetNamespace="http://schemas.microsoft.com/office/2006/metadata/properties" ma:root="true" ma:fieldsID="bfc8f52565de1b854a342354ec186cf6" ns2:_="">
    <xsd:import namespace="660c5c05-d9db-4dac-919e-33fa97c2c359"/>
    <xsd:element name="properties">
      <xsd:complexType>
        <xsd:sequence>
          <xsd:element name="documentManagement">
            <xsd:complexType>
              <xsd:all>
                <xsd:element ref="ns2:MediaServiceKeyPoints" minOccurs="0"/>
                <xsd:element ref="ns2:MediaServiceAutoTag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CD5BF-EFA8-4CBF-A101-0A57007FECFC}"/>
</file>

<file path=customXml/itemProps2.xml><?xml version="1.0" encoding="utf-8"?>
<ds:datastoreItem xmlns:ds="http://schemas.openxmlformats.org/officeDocument/2006/customXml" ds:itemID="{76688303-C530-4C56-B579-4D8173D243C4}"/>
</file>

<file path=customXml/itemProps3.xml><?xml version="1.0" encoding="utf-8"?>
<ds:datastoreItem xmlns:ds="http://schemas.openxmlformats.org/officeDocument/2006/customXml" ds:itemID="{54859B4B-067C-43C0-894A-12F1F3D85D7B}"/>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5510</Characters>
  <Application>Microsoft Office Word</Application>
  <DocSecurity>0</DocSecurity>
  <Lines>45</Lines>
  <Paragraphs>12</Paragraphs>
  <ScaleCrop>false</ScaleCrop>
  <Company>MICAH Projects</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dan.cosgrove</dc:creator>
  <cp:keywords/>
  <cp:lastModifiedBy>Erin Smith</cp:lastModifiedBy>
  <cp:revision>21</cp:revision>
  <cp:lastPrinted>2011-03-15T06:54:00Z</cp:lastPrinted>
  <dcterms:created xsi:type="dcterms:W3CDTF">2022-02-22T00:38:00Z</dcterms:created>
  <dcterms:modified xsi:type="dcterms:W3CDTF">2022-04-04T03:26:00Z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0x0101007F8D81CF50400842823902D055956492</vt:lpwstr>
  </property>
</Properties>
</file>