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BF09" w14:textId="030D8942" w:rsidR="00453832" w:rsidRPr="00453832" w:rsidRDefault="00453832" w:rsidP="00453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document has been </w:t>
      </w:r>
      <w:r w:rsidR="00224EE1">
        <w:rPr>
          <w:rFonts w:ascii="Arial" w:hAnsi="Arial" w:cs="Arial"/>
          <w:sz w:val="20"/>
          <w:szCs w:val="20"/>
        </w:rPr>
        <w:t>edited in accordance with accessibility guidelines for text-to-audio software.</w:t>
      </w:r>
    </w:p>
    <w:p w14:paraId="51BA7644" w14:textId="2FFE4DD5" w:rsidR="00FF0597" w:rsidRPr="00A82C46" w:rsidRDefault="00FE7AED" w:rsidP="00D45F76">
      <w:pPr>
        <w:pStyle w:val="Heading1"/>
      </w:pPr>
      <w:r w:rsidRPr="00D42F3E">
        <w:t>Eligibility</w:t>
      </w:r>
      <w:r w:rsidR="008B0E4B" w:rsidRPr="00D42F3E">
        <w:t xml:space="preserve"> Policy</w:t>
      </w:r>
    </w:p>
    <w:p w14:paraId="7957FF9E" w14:textId="77777777" w:rsidR="00063EF7" w:rsidRDefault="00AD76B8" w:rsidP="002C52D8">
      <w:pPr>
        <w:spacing w:after="120" w:line="280" w:lineRule="atLeast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 xml:space="preserve">Common Ground Queensland will adhere to the Department of </w:t>
      </w:r>
      <w:r w:rsidR="00EC7ADD">
        <w:rPr>
          <w:rFonts w:ascii="Arial" w:hAnsi="Arial" w:cs="Avenir 35 Light"/>
          <w:color w:val="000000"/>
          <w:sz w:val="20"/>
          <w:szCs w:val="23"/>
        </w:rPr>
        <w:t xml:space="preserve">Housing and Public Works </w:t>
      </w:r>
      <w:r w:rsidR="002C52D8">
        <w:rPr>
          <w:rFonts w:ascii="Arial" w:hAnsi="Arial" w:cs="Avenir 35 Light"/>
          <w:color w:val="000000"/>
          <w:sz w:val="20"/>
          <w:szCs w:val="23"/>
        </w:rPr>
        <w:t>(DHPW</w:t>
      </w:r>
      <w:r>
        <w:rPr>
          <w:rFonts w:ascii="Arial" w:hAnsi="Arial" w:cs="Avenir 35 Light"/>
          <w:color w:val="000000"/>
          <w:sz w:val="20"/>
          <w:szCs w:val="23"/>
        </w:rPr>
        <w:t xml:space="preserve">) </w:t>
      </w:r>
      <w:r w:rsidR="009E39FF" w:rsidRPr="00F46485">
        <w:rPr>
          <w:rFonts w:ascii="Arial" w:hAnsi="Arial" w:cs="Avenir 35 Light"/>
          <w:i/>
          <w:color w:val="000000"/>
          <w:sz w:val="20"/>
          <w:szCs w:val="23"/>
        </w:rPr>
        <w:t xml:space="preserve">Social Housing </w:t>
      </w:r>
      <w:r w:rsidRPr="00F46485">
        <w:rPr>
          <w:rFonts w:ascii="Arial" w:hAnsi="Arial" w:cs="Avenir 35 Light"/>
          <w:i/>
          <w:color w:val="000000"/>
          <w:sz w:val="20"/>
          <w:szCs w:val="23"/>
        </w:rPr>
        <w:t>Eligibility Criteria</w:t>
      </w:r>
      <w:r w:rsidR="003D3F01">
        <w:rPr>
          <w:rStyle w:val="FootnoteReference"/>
          <w:rFonts w:ascii="Arial" w:hAnsi="Arial" w:cs="Avenir 35 Light"/>
          <w:color w:val="000000"/>
          <w:sz w:val="20"/>
          <w:szCs w:val="23"/>
        </w:rPr>
        <w:footnoteReference w:id="1"/>
      </w:r>
      <w:r>
        <w:rPr>
          <w:rFonts w:ascii="Arial" w:hAnsi="Arial" w:cs="Avenir 35 Light"/>
          <w:color w:val="000000"/>
          <w:sz w:val="20"/>
          <w:szCs w:val="23"/>
        </w:rPr>
        <w:t xml:space="preserve"> </w:t>
      </w:r>
      <w:r w:rsidR="003D3F01">
        <w:rPr>
          <w:rFonts w:ascii="Arial" w:hAnsi="Arial" w:cs="Avenir 35 Light"/>
          <w:color w:val="000000"/>
          <w:sz w:val="20"/>
          <w:szCs w:val="23"/>
        </w:rPr>
        <w:t xml:space="preserve">and </w:t>
      </w:r>
      <w:r w:rsidR="003D3F01" w:rsidRPr="00F46485">
        <w:rPr>
          <w:rFonts w:ascii="Arial" w:hAnsi="Arial" w:cs="Avenir 35 Light"/>
          <w:i/>
          <w:color w:val="000000"/>
          <w:sz w:val="20"/>
          <w:szCs w:val="23"/>
        </w:rPr>
        <w:t xml:space="preserve">Allocations Policy: </w:t>
      </w:r>
      <w:r w:rsidR="007918A6" w:rsidRPr="00F46485">
        <w:rPr>
          <w:rFonts w:ascii="Arial" w:hAnsi="Arial" w:cs="Avenir 35 Light"/>
          <w:i/>
          <w:color w:val="000000"/>
          <w:sz w:val="20"/>
          <w:szCs w:val="23"/>
        </w:rPr>
        <w:t>Supportive Housing Program</w:t>
      </w:r>
      <w:r w:rsidR="003D3F01" w:rsidRPr="00F46485">
        <w:rPr>
          <w:rFonts w:ascii="Arial" w:hAnsi="Arial" w:cs="Avenir 35 Light"/>
          <w:i/>
          <w:color w:val="000000"/>
          <w:sz w:val="20"/>
          <w:szCs w:val="23"/>
        </w:rPr>
        <w:t xml:space="preserve"> (Common Ground)</w:t>
      </w:r>
      <w:r w:rsidR="003D3F01">
        <w:rPr>
          <w:rFonts w:ascii="Arial" w:hAnsi="Arial" w:cs="Avenir 35 Light"/>
          <w:color w:val="000000"/>
          <w:sz w:val="20"/>
          <w:szCs w:val="23"/>
          <w:vertAlign w:val="superscript"/>
        </w:rPr>
        <w:t>1</w:t>
      </w:r>
      <w:r w:rsidR="00F46485">
        <w:rPr>
          <w:rFonts w:ascii="Arial" w:hAnsi="Arial" w:cs="Avenir 35 Light"/>
          <w:color w:val="000000"/>
          <w:sz w:val="20"/>
          <w:szCs w:val="23"/>
        </w:rPr>
        <w:t xml:space="preserve"> </w:t>
      </w:r>
      <w:r>
        <w:rPr>
          <w:rFonts w:ascii="Arial" w:hAnsi="Arial" w:cs="Avenir 35 Light"/>
          <w:color w:val="000000"/>
          <w:sz w:val="20"/>
          <w:szCs w:val="23"/>
        </w:rPr>
        <w:t xml:space="preserve">in its response to applicants for housing.  </w:t>
      </w:r>
    </w:p>
    <w:p w14:paraId="3FF64656" w14:textId="77777777" w:rsidR="00AD76B8" w:rsidRDefault="00AD76B8" w:rsidP="002C52D8">
      <w:pPr>
        <w:spacing w:after="120" w:line="280" w:lineRule="atLeast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>There are criteria which must be satisfied in the following areas:</w:t>
      </w:r>
    </w:p>
    <w:p w14:paraId="65F5277C" w14:textId="77777777" w:rsidR="00AD76B8" w:rsidRDefault="00AD76B8" w:rsidP="002C52D8">
      <w:pPr>
        <w:numPr>
          <w:ilvl w:val="0"/>
          <w:numId w:val="12"/>
        </w:numPr>
        <w:spacing w:after="60" w:line="280" w:lineRule="atLeast"/>
        <w:ind w:left="714" w:hanging="357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>Australian citizenship or residency</w:t>
      </w:r>
      <w:r w:rsidR="00EC7ADD">
        <w:rPr>
          <w:rFonts w:ascii="Arial" w:hAnsi="Arial" w:cs="Avenir 35 Light"/>
          <w:color w:val="000000"/>
          <w:sz w:val="20"/>
          <w:szCs w:val="23"/>
        </w:rPr>
        <w:t>;</w:t>
      </w:r>
    </w:p>
    <w:p w14:paraId="08F89C83" w14:textId="77777777" w:rsidR="00AD76B8" w:rsidRDefault="00AD76B8" w:rsidP="002C52D8">
      <w:pPr>
        <w:numPr>
          <w:ilvl w:val="0"/>
          <w:numId w:val="12"/>
        </w:numPr>
        <w:spacing w:after="60" w:line="280" w:lineRule="atLeast"/>
        <w:ind w:left="714" w:hanging="357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>Queensland residency</w:t>
      </w:r>
      <w:r w:rsidR="00EC7ADD">
        <w:rPr>
          <w:rFonts w:ascii="Arial" w:hAnsi="Arial" w:cs="Avenir 35 Light"/>
          <w:color w:val="000000"/>
          <w:sz w:val="20"/>
          <w:szCs w:val="23"/>
        </w:rPr>
        <w:t>;</w:t>
      </w:r>
    </w:p>
    <w:p w14:paraId="4499069C" w14:textId="77777777" w:rsidR="009E39FF" w:rsidRDefault="009E39FF" w:rsidP="002C52D8">
      <w:pPr>
        <w:numPr>
          <w:ilvl w:val="0"/>
          <w:numId w:val="12"/>
        </w:numPr>
        <w:spacing w:after="60" w:line="280" w:lineRule="atLeast"/>
        <w:ind w:left="714" w:hanging="357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>Property ownership;</w:t>
      </w:r>
    </w:p>
    <w:p w14:paraId="3D9F7147" w14:textId="77777777" w:rsidR="00AD76B8" w:rsidRDefault="00AD76B8" w:rsidP="002C52D8">
      <w:pPr>
        <w:numPr>
          <w:ilvl w:val="0"/>
          <w:numId w:val="12"/>
        </w:numPr>
        <w:spacing w:after="60" w:line="280" w:lineRule="atLeast"/>
        <w:ind w:left="714" w:hanging="357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>Liquid assets</w:t>
      </w:r>
      <w:r w:rsidR="00EC7ADD">
        <w:rPr>
          <w:rFonts w:ascii="Arial" w:hAnsi="Arial" w:cs="Avenir 35 Light"/>
          <w:color w:val="000000"/>
          <w:sz w:val="20"/>
          <w:szCs w:val="23"/>
        </w:rPr>
        <w:t>;</w:t>
      </w:r>
    </w:p>
    <w:p w14:paraId="28C98C22" w14:textId="77777777" w:rsidR="00AD76B8" w:rsidRDefault="00AD76B8" w:rsidP="002C52D8">
      <w:pPr>
        <w:numPr>
          <w:ilvl w:val="0"/>
          <w:numId w:val="12"/>
        </w:numPr>
        <w:spacing w:after="60" w:line="280" w:lineRule="atLeast"/>
        <w:ind w:left="714" w:hanging="357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>Independent income</w:t>
      </w:r>
      <w:r w:rsidR="002C52D8">
        <w:rPr>
          <w:rFonts w:ascii="Arial" w:hAnsi="Arial" w:cs="Avenir 35 Light"/>
          <w:color w:val="000000"/>
          <w:sz w:val="20"/>
          <w:szCs w:val="23"/>
        </w:rPr>
        <w:t>;</w:t>
      </w:r>
    </w:p>
    <w:p w14:paraId="5711B7F0" w14:textId="77777777" w:rsidR="00AD76B8" w:rsidRDefault="00AD76B8" w:rsidP="002C52D8">
      <w:pPr>
        <w:numPr>
          <w:ilvl w:val="0"/>
          <w:numId w:val="12"/>
        </w:numPr>
        <w:spacing w:after="60" w:line="280" w:lineRule="atLeast"/>
        <w:ind w:left="714" w:hanging="357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>Housing income limits</w:t>
      </w:r>
      <w:r w:rsidR="00AF3380">
        <w:rPr>
          <w:rFonts w:ascii="Arial" w:hAnsi="Arial" w:cs="Avenir 35 Light"/>
          <w:color w:val="000000"/>
          <w:sz w:val="20"/>
          <w:szCs w:val="23"/>
        </w:rPr>
        <w:t>; and</w:t>
      </w:r>
    </w:p>
    <w:p w14:paraId="33E7C4D2" w14:textId="60307484" w:rsidR="00AD76B8" w:rsidRPr="00F94DC8" w:rsidRDefault="00AF3380" w:rsidP="00384EB5">
      <w:pPr>
        <w:numPr>
          <w:ilvl w:val="0"/>
          <w:numId w:val="12"/>
        </w:numPr>
        <w:spacing w:line="280" w:lineRule="atLeast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>Appropriateness of current housing.</w:t>
      </w:r>
    </w:p>
    <w:p w14:paraId="5D767E56" w14:textId="1CBAAA19" w:rsidR="00FE7AED" w:rsidRDefault="0053786D" w:rsidP="002C52D8">
      <w:pPr>
        <w:spacing w:after="120" w:line="280" w:lineRule="atLeast"/>
        <w:rPr>
          <w:rFonts w:ascii="Arial" w:hAnsi="Arial" w:cs="Avenir 35 Light"/>
          <w:iCs/>
          <w:color w:val="000000"/>
          <w:sz w:val="20"/>
          <w:szCs w:val="23"/>
        </w:rPr>
      </w:pPr>
      <w:r>
        <w:rPr>
          <w:rFonts w:ascii="Arial" w:hAnsi="Arial" w:cs="Arial"/>
          <w:sz w:val="20"/>
          <w:szCs w:val="20"/>
        </w:rPr>
        <w:t xml:space="preserve">Common Ground Queensland has a vision to end homelessness in the communities in which we operate. </w:t>
      </w:r>
      <w:r w:rsidR="00FE7AED">
        <w:rPr>
          <w:rFonts w:ascii="Arial" w:hAnsi="Arial" w:cs="Arial"/>
          <w:sz w:val="20"/>
          <w:szCs w:val="20"/>
        </w:rPr>
        <w:t>Our supportive housing philosophy is “</w:t>
      </w:r>
      <w:r w:rsidR="00FE7AED" w:rsidRPr="00FE7AED">
        <w:rPr>
          <w:rFonts w:ascii="Arial" w:hAnsi="Arial" w:cs="Avenir 35 Light"/>
          <w:color w:val="000000"/>
          <w:sz w:val="20"/>
          <w:szCs w:val="23"/>
        </w:rPr>
        <w:t xml:space="preserve">The integration of housing, support services and the community to assist people who </w:t>
      </w:r>
      <w:r w:rsidR="008C7CA4">
        <w:rPr>
          <w:rFonts w:ascii="Arial" w:hAnsi="Arial" w:cs="Avenir 35 Light"/>
          <w:color w:val="000000"/>
          <w:sz w:val="20"/>
          <w:szCs w:val="23"/>
        </w:rPr>
        <w:t>have experienced homelessness”</w:t>
      </w:r>
      <w:r w:rsidR="00F46485">
        <w:rPr>
          <w:rFonts w:ascii="Arial" w:hAnsi="Arial" w:cs="Avenir 35 Light"/>
          <w:color w:val="000000"/>
          <w:sz w:val="20"/>
          <w:szCs w:val="23"/>
        </w:rPr>
        <w:t xml:space="preserve">. </w:t>
      </w:r>
      <w:r w:rsidR="00FE7AED">
        <w:rPr>
          <w:rFonts w:ascii="Arial" w:hAnsi="Arial" w:cs="Avenir 35 Light"/>
          <w:iCs/>
          <w:color w:val="000000"/>
          <w:sz w:val="20"/>
          <w:szCs w:val="23"/>
        </w:rPr>
        <w:t>As such, our eligib</w:t>
      </w:r>
      <w:r w:rsidR="00F46485">
        <w:rPr>
          <w:rFonts w:ascii="Arial" w:hAnsi="Arial" w:cs="Avenir 35 Light"/>
          <w:iCs/>
          <w:color w:val="000000"/>
          <w:sz w:val="20"/>
          <w:szCs w:val="23"/>
        </w:rPr>
        <w:t>ility criteria include</w:t>
      </w:r>
      <w:r w:rsidR="00E444C8">
        <w:rPr>
          <w:rFonts w:ascii="Arial" w:hAnsi="Arial" w:cs="Avenir 35 Light"/>
          <w:iCs/>
          <w:color w:val="000000"/>
          <w:sz w:val="20"/>
          <w:szCs w:val="23"/>
        </w:rPr>
        <w:t>s</w:t>
      </w:r>
      <w:r w:rsidR="00FE7AED">
        <w:rPr>
          <w:rFonts w:ascii="Arial" w:hAnsi="Arial" w:cs="Avenir 35 Light"/>
          <w:iCs/>
          <w:color w:val="000000"/>
          <w:sz w:val="20"/>
          <w:szCs w:val="23"/>
        </w:rPr>
        <w:t>:</w:t>
      </w:r>
    </w:p>
    <w:p w14:paraId="25D97F1D" w14:textId="5948FAD9" w:rsidR="00FE7AED" w:rsidRPr="007918A6" w:rsidRDefault="00FE7AED" w:rsidP="007918A6">
      <w:pPr>
        <w:numPr>
          <w:ilvl w:val="0"/>
          <w:numId w:val="14"/>
        </w:numPr>
        <w:spacing w:after="120" w:line="280" w:lineRule="atLeast"/>
        <w:rPr>
          <w:rFonts w:ascii="Arial" w:hAnsi="Arial" w:cs="Avenir 35 Light"/>
          <w:iCs/>
          <w:color w:val="000000"/>
          <w:sz w:val="20"/>
          <w:szCs w:val="23"/>
        </w:rPr>
      </w:pPr>
      <w:r w:rsidRPr="007918A6">
        <w:rPr>
          <w:rFonts w:ascii="Arial" w:hAnsi="Arial" w:cs="Avenir 35 Light"/>
          <w:color w:val="000000"/>
          <w:sz w:val="20"/>
          <w:szCs w:val="23"/>
        </w:rPr>
        <w:t>Any person who is chronically homeless</w:t>
      </w:r>
      <w:r w:rsidR="00F07C89">
        <w:rPr>
          <w:rFonts w:ascii="Arial" w:hAnsi="Arial" w:cs="Avenir 35 Light"/>
          <w:color w:val="000000"/>
          <w:sz w:val="20"/>
          <w:szCs w:val="23"/>
        </w:rPr>
        <w:t xml:space="preserve"> (either rough sleeping </w:t>
      </w:r>
      <w:r w:rsidR="00F07C89">
        <w:rPr>
          <w:rFonts w:ascii="Arial" w:hAnsi="Arial" w:cs="Arial"/>
          <w:color w:val="000000"/>
          <w:sz w:val="20"/>
          <w:szCs w:val="23"/>
        </w:rPr>
        <w:t>greater than</w:t>
      </w:r>
      <w:r w:rsidR="00F07C89">
        <w:rPr>
          <w:rFonts w:ascii="Arial" w:hAnsi="Arial" w:cs="Avenir 35 Light"/>
          <w:color w:val="000000"/>
          <w:sz w:val="20"/>
          <w:szCs w:val="23"/>
        </w:rPr>
        <w:t xml:space="preserve"> 6 months or chronically homeless greater than 2 years)</w:t>
      </w:r>
      <w:r w:rsidR="00AF5582">
        <w:rPr>
          <w:rFonts w:ascii="Arial" w:hAnsi="Arial" w:cs="Avenir 35 Light"/>
          <w:color w:val="000000"/>
          <w:sz w:val="20"/>
          <w:szCs w:val="23"/>
        </w:rPr>
        <w:t>,</w:t>
      </w:r>
      <w:r w:rsidR="0053786D">
        <w:rPr>
          <w:rFonts w:ascii="Arial" w:hAnsi="Arial" w:cs="Avenir 35 Light"/>
          <w:color w:val="000000"/>
          <w:sz w:val="20"/>
          <w:szCs w:val="23"/>
        </w:rPr>
        <w:t xml:space="preserve"> and</w:t>
      </w:r>
    </w:p>
    <w:p w14:paraId="047A0D29" w14:textId="1F24D953" w:rsidR="007918A6" w:rsidRPr="00F94DC8" w:rsidRDefault="00C32677" w:rsidP="007918A6">
      <w:pPr>
        <w:numPr>
          <w:ilvl w:val="0"/>
          <w:numId w:val="14"/>
        </w:numPr>
        <w:spacing w:line="280" w:lineRule="atLeast"/>
        <w:ind w:left="714" w:hanging="357"/>
        <w:rPr>
          <w:rFonts w:ascii="Arial" w:hAnsi="Arial" w:cs="Avenir 35 Light"/>
          <w:iCs/>
          <w:color w:val="000000"/>
          <w:sz w:val="20"/>
          <w:szCs w:val="23"/>
        </w:rPr>
      </w:pPr>
      <w:r w:rsidRPr="007918A6">
        <w:rPr>
          <w:rFonts w:ascii="Arial" w:hAnsi="Arial" w:cs="Avenir 35 Light"/>
          <w:color w:val="000000"/>
          <w:sz w:val="20"/>
          <w:szCs w:val="23"/>
        </w:rPr>
        <w:t>Any person on</w:t>
      </w:r>
      <w:r w:rsidR="00FE7AED" w:rsidRPr="007918A6">
        <w:rPr>
          <w:rFonts w:ascii="Arial" w:hAnsi="Arial" w:cs="Avenir 35 Light"/>
          <w:color w:val="000000"/>
          <w:sz w:val="20"/>
          <w:szCs w:val="23"/>
        </w:rPr>
        <w:t xml:space="preserve"> low </w:t>
      </w:r>
      <w:r w:rsidR="00E444C8">
        <w:rPr>
          <w:rFonts w:ascii="Arial" w:hAnsi="Arial" w:cs="Avenir 35 Light"/>
          <w:color w:val="000000"/>
          <w:sz w:val="20"/>
          <w:szCs w:val="23"/>
        </w:rPr>
        <w:t xml:space="preserve">to moderate </w:t>
      </w:r>
      <w:r w:rsidR="00FE7AED" w:rsidRPr="007918A6">
        <w:rPr>
          <w:rFonts w:ascii="Arial" w:hAnsi="Arial" w:cs="Avenir 35 Light"/>
          <w:color w:val="000000"/>
          <w:sz w:val="20"/>
          <w:szCs w:val="23"/>
        </w:rPr>
        <w:t xml:space="preserve">income who </w:t>
      </w:r>
      <w:r w:rsidR="0053786D">
        <w:rPr>
          <w:rFonts w:ascii="Arial" w:hAnsi="Arial" w:cs="Avenir 35 Light"/>
          <w:color w:val="000000"/>
          <w:sz w:val="20"/>
          <w:szCs w:val="23"/>
        </w:rPr>
        <w:t>accepts</w:t>
      </w:r>
      <w:r w:rsidR="00FE7AED" w:rsidRPr="007918A6">
        <w:rPr>
          <w:rFonts w:ascii="Arial" w:hAnsi="Arial" w:cs="Avenir 35 Light"/>
          <w:color w:val="000000"/>
          <w:sz w:val="20"/>
          <w:szCs w:val="23"/>
        </w:rPr>
        <w:t xml:space="preserve"> </w:t>
      </w:r>
      <w:r w:rsidR="00144573" w:rsidRPr="007918A6">
        <w:rPr>
          <w:rFonts w:ascii="Arial" w:hAnsi="Arial" w:cs="Avenir 35 Light"/>
          <w:color w:val="000000"/>
          <w:sz w:val="20"/>
          <w:szCs w:val="23"/>
        </w:rPr>
        <w:t>the supportive housing philosophy</w:t>
      </w:r>
      <w:r w:rsidR="00ED1687" w:rsidRPr="007918A6">
        <w:rPr>
          <w:rFonts w:ascii="Arial" w:hAnsi="Arial" w:cs="Avenir 35 Light"/>
          <w:color w:val="000000"/>
          <w:sz w:val="20"/>
          <w:szCs w:val="23"/>
        </w:rPr>
        <w:t xml:space="preserve"> </w:t>
      </w:r>
      <w:r w:rsidR="008C7CA4">
        <w:rPr>
          <w:rFonts w:ascii="Arial" w:hAnsi="Arial" w:cs="Avenir 35 Light"/>
          <w:color w:val="000000"/>
          <w:sz w:val="20"/>
          <w:szCs w:val="23"/>
        </w:rPr>
        <w:t>and</w:t>
      </w:r>
      <w:r w:rsidR="009D19D2" w:rsidRPr="007918A6">
        <w:rPr>
          <w:rFonts w:ascii="Arial" w:hAnsi="Arial" w:cs="Avenir 35 Light"/>
          <w:color w:val="000000"/>
          <w:sz w:val="20"/>
          <w:szCs w:val="23"/>
        </w:rPr>
        <w:t xml:space="preserve"> would contribute to the success of a Common Ground </w:t>
      </w:r>
      <w:r w:rsidR="00274936" w:rsidRPr="007918A6">
        <w:rPr>
          <w:rFonts w:ascii="Arial" w:hAnsi="Arial" w:cs="Avenir 35 Light"/>
          <w:color w:val="000000"/>
          <w:sz w:val="20"/>
          <w:szCs w:val="23"/>
        </w:rPr>
        <w:t xml:space="preserve">Queensland </w:t>
      </w:r>
      <w:r w:rsidR="00316CAC" w:rsidRPr="007918A6">
        <w:rPr>
          <w:rFonts w:ascii="Arial" w:hAnsi="Arial" w:cs="Avenir 35 Light"/>
          <w:color w:val="000000"/>
          <w:sz w:val="20"/>
          <w:szCs w:val="23"/>
        </w:rPr>
        <w:t>property</w:t>
      </w:r>
      <w:r w:rsidR="00ED1687" w:rsidRPr="007918A6">
        <w:rPr>
          <w:rFonts w:ascii="Arial" w:hAnsi="Arial" w:cs="Avenir 35 Light"/>
          <w:color w:val="000000"/>
          <w:sz w:val="20"/>
          <w:szCs w:val="23"/>
        </w:rPr>
        <w:t>.</w:t>
      </w:r>
    </w:p>
    <w:p w14:paraId="59579843" w14:textId="77777777" w:rsidR="00063EF7" w:rsidRPr="00646799" w:rsidRDefault="00063EF7" w:rsidP="00A82C46">
      <w:pPr>
        <w:pStyle w:val="Heading2"/>
      </w:pPr>
      <w:r w:rsidRPr="00646799">
        <w:t>Chronic Homeless Target Group</w:t>
      </w:r>
    </w:p>
    <w:p w14:paraId="1417E168" w14:textId="63B20238" w:rsidR="00646799" w:rsidRPr="00646799" w:rsidRDefault="00063EF7" w:rsidP="00646799">
      <w:pPr>
        <w:spacing w:line="280" w:lineRule="atLeast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>Applicants in the chronic homeless target group must meet the Social Housing Eligibility Criteria and have an approved application for housing assistance on the housing register.</w:t>
      </w:r>
    </w:p>
    <w:p w14:paraId="732F1D1B" w14:textId="77777777" w:rsidR="00063EF7" w:rsidRDefault="00063EF7" w:rsidP="00A82C46">
      <w:pPr>
        <w:pStyle w:val="Heading2"/>
      </w:pPr>
      <w:r>
        <w:t>Low to Moderate Income Target Group</w:t>
      </w:r>
    </w:p>
    <w:p w14:paraId="717C9C34" w14:textId="77777777" w:rsidR="00063EF7" w:rsidRDefault="00063EF7" w:rsidP="00646799">
      <w:pPr>
        <w:spacing w:after="120" w:line="280" w:lineRule="atLeast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>Applicants in the low to moderate income target group with a focus on working and who have a connection to the local area will fall into two categories:</w:t>
      </w:r>
    </w:p>
    <w:p w14:paraId="2E795B82" w14:textId="77777777" w:rsidR="00214536" w:rsidRDefault="007918A6" w:rsidP="00144573">
      <w:pPr>
        <w:numPr>
          <w:ilvl w:val="0"/>
          <w:numId w:val="13"/>
        </w:numPr>
        <w:spacing w:after="120" w:line="280" w:lineRule="atLeast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>Low to moderate income with a social housing application – applicants will meet the Social Housing Eligibility Criteria and have an approved application for housing assistance on the housing register in any segment; and</w:t>
      </w:r>
    </w:p>
    <w:p w14:paraId="0266D9E4" w14:textId="41DBF601" w:rsidR="000B16BC" w:rsidRPr="00214536" w:rsidRDefault="007918A6" w:rsidP="00144573">
      <w:pPr>
        <w:numPr>
          <w:ilvl w:val="0"/>
          <w:numId w:val="13"/>
        </w:numPr>
        <w:spacing w:after="120" w:line="280" w:lineRule="atLeast"/>
        <w:rPr>
          <w:rFonts w:ascii="Arial" w:hAnsi="Arial" w:cs="Avenir 35 Light"/>
          <w:color w:val="000000"/>
          <w:sz w:val="20"/>
          <w:szCs w:val="23"/>
        </w:rPr>
      </w:pPr>
      <w:r w:rsidRPr="00214536">
        <w:rPr>
          <w:rFonts w:ascii="Arial" w:hAnsi="Arial" w:cs="Avenir 35 Light"/>
          <w:color w:val="000000"/>
          <w:sz w:val="20"/>
          <w:szCs w:val="23"/>
        </w:rPr>
        <w:t>Low to moderate income without a social housing application – applicants must meet all aspects of the Social Housing Eligibility Criteria, except the household income limit criteria</w:t>
      </w:r>
      <w:r w:rsidR="008D65F0" w:rsidRPr="00214536">
        <w:rPr>
          <w:rFonts w:ascii="Arial" w:hAnsi="Arial" w:cs="Avenir 35 Light"/>
          <w:color w:val="000000"/>
          <w:sz w:val="20"/>
          <w:szCs w:val="23"/>
        </w:rPr>
        <w:t xml:space="preserve"> and the appropriateness of current housing criteria</w:t>
      </w:r>
      <w:r w:rsidRPr="00214536">
        <w:rPr>
          <w:rFonts w:ascii="Arial" w:hAnsi="Arial" w:cs="Avenir 35 Light"/>
          <w:color w:val="000000"/>
          <w:sz w:val="20"/>
          <w:szCs w:val="23"/>
        </w:rPr>
        <w:t xml:space="preserve">. </w:t>
      </w:r>
      <w:r w:rsidR="008D65F0" w:rsidRPr="00214536">
        <w:rPr>
          <w:rFonts w:ascii="Arial" w:hAnsi="Arial" w:cs="Avenir 35 Light"/>
          <w:color w:val="000000"/>
          <w:sz w:val="20"/>
          <w:szCs w:val="23"/>
        </w:rPr>
        <w:t>A</w:t>
      </w:r>
      <w:r w:rsidRPr="00214536">
        <w:rPr>
          <w:rFonts w:ascii="Arial" w:hAnsi="Arial" w:cs="Avenir 35 Light"/>
          <w:color w:val="000000"/>
          <w:sz w:val="20"/>
          <w:szCs w:val="23"/>
        </w:rPr>
        <w:t xml:space="preserve">pplicants </w:t>
      </w:r>
      <w:r w:rsidR="008D65F0" w:rsidRPr="00214536">
        <w:rPr>
          <w:rFonts w:ascii="Arial" w:hAnsi="Arial" w:cs="Avenir 35 Light"/>
          <w:color w:val="000000"/>
          <w:sz w:val="20"/>
          <w:szCs w:val="23"/>
        </w:rPr>
        <w:t>need to comply with the income limits</w:t>
      </w:r>
      <w:r w:rsidR="003C18E3" w:rsidRPr="00214536">
        <w:rPr>
          <w:rFonts w:ascii="Arial" w:hAnsi="Arial" w:cs="Avenir 35 Light"/>
          <w:color w:val="000000"/>
          <w:sz w:val="20"/>
          <w:szCs w:val="23"/>
        </w:rPr>
        <w:t xml:space="preserve"> </w:t>
      </w:r>
      <w:r w:rsidR="008D65F0" w:rsidRPr="00214536">
        <w:rPr>
          <w:rFonts w:ascii="Arial" w:hAnsi="Arial" w:cs="Avenir 35 Light"/>
          <w:color w:val="000000"/>
          <w:sz w:val="20"/>
          <w:szCs w:val="23"/>
        </w:rPr>
        <w:t>for</w:t>
      </w:r>
      <w:r w:rsidRPr="00214536">
        <w:rPr>
          <w:rFonts w:ascii="Arial" w:hAnsi="Arial" w:cs="Avenir 35 Light"/>
          <w:color w:val="000000"/>
          <w:sz w:val="20"/>
          <w:szCs w:val="23"/>
        </w:rPr>
        <w:t xml:space="preserve"> the National Rental Affordability Scheme Entry as published by the Australian Government.</w:t>
      </w:r>
      <w:r w:rsidR="003C18E3" w:rsidRPr="00214536">
        <w:rPr>
          <w:rFonts w:ascii="Arial" w:hAnsi="Arial" w:cs="Avenir 35 Light"/>
          <w:color w:val="000000"/>
          <w:sz w:val="20"/>
          <w:szCs w:val="23"/>
        </w:rPr>
        <w:t xml:space="preserve"> </w:t>
      </w:r>
      <w:r w:rsidR="00BA5457" w:rsidRPr="00214536">
        <w:rPr>
          <w:rFonts w:ascii="Arial" w:hAnsi="Arial" w:cs="Avenir 35 Light"/>
          <w:color w:val="000000"/>
          <w:sz w:val="20"/>
          <w:szCs w:val="23"/>
        </w:rPr>
        <w:t>After people are housed by Common Ground Queensland, c</w:t>
      </w:r>
      <w:r w:rsidR="000B16BC" w:rsidRPr="00214536">
        <w:rPr>
          <w:rFonts w:ascii="Arial" w:hAnsi="Arial" w:cs="Avenir 35 Light"/>
          <w:color w:val="000000"/>
          <w:sz w:val="20"/>
          <w:szCs w:val="23"/>
        </w:rPr>
        <w:t xml:space="preserve">ontinuing eligibility of tenants is assessed on an on-going basis. The </w:t>
      </w:r>
      <w:r w:rsidR="000D7937" w:rsidRPr="00214536">
        <w:rPr>
          <w:rFonts w:ascii="Arial" w:hAnsi="Arial" w:cs="Avenir 35 Light"/>
          <w:color w:val="000000"/>
          <w:sz w:val="20"/>
          <w:szCs w:val="23"/>
        </w:rPr>
        <w:t xml:space="preserve">Ongoing Eligibility Criteria outlined in the </w:t>
      </w:r>
      <w:r w:rsidR="002C52D8" w:rsidRPr="00214536">
        <w:rPr>
          <w:rFonts w:ascii="Arial" w:hAnsi="Arial" w:cs="Avenir 35 Light"/>
          <w:color w:val="000000"/>
          <w:sz w:val="20"/>
          <w:szCs w:val="23"/>
        </w:rPr>
        <w:t>DHPW</w:t>
      </w:r>
      <w:r w:rsidR="00316CAC" w:rsidRPr="00214536">
        <w:rPr>
          <w:rFonts w:ascii="Arial" w:hAnsi="Arial" w:cs="Avenir 35 Light"/>
          <w:color w:val="000000"/>
          <w:sz w:val="20"/>
          <w:szCs w:val="23"/>
        </w:rPr>
        <w:t xml:space="preserve"> </w:t>
      </w:r>
      <w:r w:rsidR="000D7937" w:rsidRPr="00214536">
        <w:rPr>
          <w:rFonts w:ascii="Arial" w:hAnsi="Arial" w:cs="Avenir 35 Light"/>
          <w:i/>
          <w:color w:val="000000"/>
          <w:sz w:val="20"/>
          <w:szCs w:val="23"/>
        </w:rPr>
        <w:t>Social Housing Tenancy Management Policy</w:t>
      </w:r>
      <w:r w:rsidR="00F46485" w:rsidRPr="00214536">
        <w:rPr>
          <w:rFonts w:ascii="Arial" w:hAnsi="Arial" w:cs="Avenir 35 Light"/>
          <w:color w:val="000000"/>
          <w:sz w:val="20"/>
          <w:szCs w:val="23"/>
          <w:vertAlign w:val="superscript"/>
        </w:rPr>
        <w:t>1</w:t>
      </w:r>
      <w:r w:rsidR="000B16BC" w:rsidRPr="00214536">
        <w:rPr>
          <w:rFonts w:ascii="Arial" w:hAnsi="Arial" w:cs="Avenir 35 Light"/>
          <w:color w:val="000000"/>
          <w:sz w:val="20"/>
          <w:szCs w:val="23"/>
        </w:rPr>
        <w:t xml:space="preserve"> </w:t>
      </w:r>
      <w:r w:rsidR="00F05328" w:rsidRPr="00214536">
        <w:rPr>
          <w:rFonts w:ascii="Arial" w:hAnsi="Arial" w:cs="Avenir 35 Light"/>
          <w:color w:val="000000"/>
          <w:sz w:val="20"/>
          <w:szCs w:val="23"/>
        </w:rPr>
        <w:t>is</w:t>
      </w:r>
      <w:r w:rsidR="000B16BC" w:rsidRPr="00214536">
        <w:rPr>
          <w:rFonts w:ascii="Arial" w:hAnsi="Arial" w:cs="Avenir 35 Light"/>
          <w:color w:val="000000"/>
          <w:sz w:val="20"/>
          <w:szCs w:val="23"/>
        </w:rPr>
        <w:t xml:space="preserve"> used in these assessments.</w:t>
      </w:r>
      <w:r w:rsidR="003D3F01" w:rsidRPr="00214536">
        <w:rPr>
          <w:rFonts w:ascii="Arial" w:hAnsi="Arial" w:cs="Avenir 35 Light"/>
          <w:color w:val="000000"/>
          <w:sz w:val="20"/>
          <w:szCs w:val="23"/>
        </w:rPr>
        <w:t xml:space="preserve"> </w:t>
      </w:r>
    </w:p>
    <w:p w14:paraId="267066E0" w14:textId="4973924A" w:rsidR="00D60B66" w:rsidRPr="00F94DC8" w:rsidRDefault="00BA5457" w:rsidP="00384EB5">
      <w:pPr>
        <w:spacing w:line="280" w:lineRule="atLeast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 xml:space="preserve">This </w:t>
      </w:r>
      <w:r w:rsidR="00504D7B" w:rsidRPr="00AD3893">
        <w:rPr>
          <w:rFonts w:ascii="Arial" w:hAnsi="Arial" w:cs="Avenir 35 Light"/>
          <w:i/>
          <w:color w:val="000000"/>
          <w:sz w:val="20"/>
          <w:szCs w:val="23"/>
        </w:rPr>
        <w:t>E</w:t>
      </w:r>
      <w:r w:rsidR="00340712" w:rsidRPr="00AD3893">
        <w:rPr>
          <w:rFonts w:ascii="Arial" w:hAnsi="Arial" w:cs="Avenir 35 Light"/>
          <w:i/>
          <w:color w:val="000000"/>
          <w:sz w:val="20"/>
          <w:szCs w:val="23"/>
        </w:rPr>
        <w:t xml:space="preserve">ligibility </w:t>
      </w:r>
      <w:r w:rsidR="00504D7B" w:rsidRPr="00AD3893">
        <w:rPr>
          <w:rFonts w:ascii="Arial" w:hAnsi="Arial" w:cs="Avenir 35 Light"/>
          <w:i/>
          <w:color w:val="000000"/>
          <w:sz w:val="20"/>
          <w:szCs w:val="23"/>
        </w:rPr>
        <w:t>P</w:t>
      </w:r>
      <w:r w:rsidRPr="00AD3893">
        <w:rPr>
          <w:rFonts w:ascii="Arial" w:hAnsi="Arial" w:cs="Avenir 35 Light"/>
          <w:i/>
          <w:color w:val="000000"/>
          <w:sz w:val="20"/>
          <w:szCs w:val="23"/>
        </w:rPr>
        <w:t>olicy</w:t>
      </w:r>
      <w:r>
        <w:rPr>
          <w:rFonts w:ascii="Arial" w:hAnsi="Arial" w:cs="Avenir 35 Light"/>
          <w:color w:val="000000"/>
          <w:sz w:val="20"/>
          <w:szCs w:val="23"/>
        </w:rPr>
        <w:t xml:space="preserve"> will be amended as required when an assistance agreement is entered into with the </w:t>
      </w:r>
      <w:r w:rsidR="002C52D8">
        <w:rPr>
          <w:rFonts w:ascii="Arial" w:hAnsi="Arial" w:cs="Avenir 35 Light"/>
          <w:color w:val="000000"/>
          <w:sz w:val="20"/>
          <w:szCs w:val="23"/>
        </w:rPr>
        <w:t>DHPW</w:t>
      </w:r>
      <w:r w:rsidR="00504D7B">
        <w:rPr>
          <w:rFonts w:ascii="Arial" w:hAnsi="Arial" w:cs="Avenir 35 Light"/>
          <w:color w:val="000000"/>
          <w:sz w:val="20"/>
          <w:szCs w:val="23"/>
        </w:rPr>
        <w:t xml:space="preserve"> </w:t>
      </w:r>
      <w:r w:rsidR="00F50F4C">
        <w:rPr>
          <w:rFonts w:ascii="Arial" w:hAnsi="Arial" w:cs="Avenir 35 Light"/>
          <w:color w:val="000000"/>
          <w:sz w:val="20"/>
          <w:szCs w:val="23"/>
        </w:rPr>
        <w:t>so as to satisfy any spe</w:t>
      </w:r>
      <w:r w:rsidR="00CE367C">
        <w:rPr>
          <w:rFonts w:ascii="Arial" w:hAnsi="Arial" w:cs="Avenir 35 Light"/>
          <w:color w:val="000000"/>
          <w:sz w:val="20"/>
          <w:szCs w:val="23"/>
        </w:rPr>
        <w:t>cific eligibility criteria of that</w:t>
      </w:r>
      <w:r w:rsidR="00F50F4C">
        <w:rPr>
          <w:rFonts w:ascii="Arial" w:hAnsi="Arial" w:cs="Avenir 35 Light"/>
          <w:color w:val="000000"/>
          <w:sz w:val="20"/>
          <w:szCs w:val="23"/>
        </w:rPr>
        <w:t xml:space="preserve"> agreement.</w:t>
      </w:r>
    </w:p>
    <w:p w14:paraId="412753D3" w14:textId="77777777" w:rsidR="00420758" w:rsidRPr="002C52D8" w:rsidRDefault="00E761C0" w:rsidP="00A82C46">
      <w:pPr>
        <w:pStyle w:val="Heading2"/>
      </w:pPr>
      <w:r>
        <w:lastRenderedPageBreak/>
        <w:t>Procedures that Implement</w:t>
      </w:r>
    </w:p>
    <w:p w14:paraId="1CC7A530" w14:textId="77777777" w:rsidR="00F50F4C" w:rsidRDefault="0091485D" w:rsidP="002C52D8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policy will be actively implemented by adhere</w:t>
      </w:r>
      <w:r w:rsidR="00FB67C1">
        <w:rPr>
          <w:rFonts w:ascii="Arial" w:hAnsi="Arial" w:cs="Arial"/>
          <w:sz w:val="20"/>
          <w:szCs w:val="20"/>
        </w:rPr>
        <w:t>nce to the following</w:t>
      </w:r>
      <w:r>
        <w:rPr>
          <w:rFonts w:ascii="Arial" w:hAnsi="Arial" w:cs="Arial"/>
          <w:sz w:val="20"/>
          <w:szCs w:val="20"/>
        </w:rPr>
        <w:t xml:space="preserve"> procedures:</w:t>
      </w:r>
    </w:p>
    <w:p w14:paraId="3218EC9E" w14:textId="77777777" w:rsidR="00F05328" w:rsidRDefault="00F05328" w:rsidP="00A11D66">
      <w:pPr>
        <w:numPr>
          <w:ilvl w:val="0"/>
          <w:numId w:val="9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Allocations Policy</w:t>
      </w:r>
      <w:r w:rsidR="003D3F01">
        <w:rPr>
          <w:rFonts w:ascii="Arial" w:hAnsi="Arial" w:cs="Arial"/>
          <w:sz w:val="20"/>
          <w:szCs w:val="20"/>
        </w:rPr>
        <w:t xml:space="preserve">: </w:t>
      </w:r>
      <w:r w:rsidR="00F46485">
        <w:rPr>
          <w:rFonts w:ascii="Arial" w:hAnsi="Arial" w:cs="Arial"/>
          <w:sz w:val="20"/>
          <w:szCs w:val="20"/>
        </w:rPr>
        <w:t xml:space="preserve">Operational policy and procedures for registered housing providers of the </w:t>
      </w:r>
      <w:r w:rsidR="003D3F01">
        <w:rPr>
          <w:rFonts w:ascii="Arial" w:hAnsi="Arial" w:cs="Arial"/>
          <w:sz w:val="20"/>
          <w:szCs w:val="20"/>
        </w:rPr>
        <w:t>Supportive Housing Program (</w:t>
      </w:r>
      <w:r>
        <w:rPr>
          <w:rFonts w:ascii="Arial" w:hAnsi="Arial" w:cs="Arial"/>
          <w:sz w:val="20"/>
          <w:szCs w:val="20"/>
        </w:rPr>
        <w:t xml:space="preserve">Common </w:t>
      </w:r>
      <w:r w:rsidR="003D3F01">
        <w:rPr>
          <w:rFonts w:ascii="Arial" w:hAnsi="Arial" w:cs="Arial"/>
          <w:sz w:val="20"/>
          <w:szCs w:val="20"/>
        </w:rPr>
        <w:t>Ground)</w:t>
      </w:r>
      <w:r>
        <w:rPr>
          <w:rFonts w:ascii="Arial" w:hAnsi="Arial" w:cs="Arial"/>
          <w:sz w:val="20"/>
          <w:szCs w:val="20"/>
        </w:rPr>
        <w:t xml:space="preserve"> (DHPW)</w:t>
      </w:r>
      <w:r w:rsidR="00F46485">
        <w:rPr>
          <w:rFonts w:ascii="Arial" w:hAnsi="Arial" w:cs="Arial"/>
          <w:sz w:val="20"/>
          <w:szCs w:val="20"/>
          <w:vertAlign w:val="superscript"/>
        </w:rPr>
        <w:t>1</w:t>
      </w:r>
    </w:p>
    <w:p w14:paraId="013A3C80" w14:textId="77777777" w:rsidR="00AD3893" w:rsidRDefault="00AD3893" w:rsidP="00A11D66">
      <w:pPr>
        <w:numPr>
          <w:ilvl w:val="0"/>
          <w:numId w:val="9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Referrals Procedure</w:t>
      </w:r>
    </w:p>
    <w:p w14:paraId="322F9879" w14:textId="77777777" w:rsidR="00F74DCE" w:rsidRDefault="00F74DCE" w:rsidP="00A11D66">
      <w:pPr>
        <w:numPr>
          <w:ilvl w:val="0"/>
          <w:numId w:val="9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Housing Eligibility Criteria (DHPW)</w:t>
      </w:r>
      <w:r w:rsidR="00F46485">
        <w:rPr>
          <w:rFonts w:ascii="Arial" w:hAnsi="Arial" w:cs="Arial"/>
          <w:sz w:val="20"/>
          <w:szCs w:val="20"/>
          <w:vertAlign w:val="superscript"/>
        </w:rPr>
        <w:t>1</w:t>
      </w:r>
    </w:p>
    <w:p w14:paraId="66F9269C" w14:textId="77777777" w:rsidR="000D7937" w:rsidRDefault="000D7937" w:rsidP="00A11D66">
      <w:pPr>
        <w:numPr>
          <w:ilvl w:val="0"/>
          <w:numId w:val="9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Housing Tenancy Management Policy (DHPW)</w:t>
      </w:r>
      <w:r w:rsidR="00F46485">
        <w:rPr>
          <w:rFonts w:ascii="Arial" w:hAnsi="Arial" w:cs="Arial"/>
          <w:sz w:val="20"/>
          <w:szCs w:val="20"/>
          <w:vertAlign w:val="superscript"/>
        </w:rPr>
        <w:t>1</w:t>
      </w:r>
    </w:p>
    <w:p w14:paraId="7F4B0D0A" w14:textId="77777777" w:rsidR="00504D7B" w:rsidRDefault="00504D7B" w:rsidP="00A11D66">
      <w:pPr>
        <w:numPr>
          <w:ilvl w:val="0"/>
          <w:numId w:val="9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Tenancy Management (Residential) Procedure</w:t>
      </w:r>
    </w:p>
    <w:p w14:paraId="7D404366" w14:textId="77777777" w:rsidR="00A11D66" w:rsidRDefault="00A11D66" w:rsidP="00A11D66">
      <w:pPr>
        <w:numPr>
          <w:ilvl w:val="0"/>
          <w:numId w:val="9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Tenant Selection Procedure</w:t>
      </w:r>
    </w:p>
    <w:p w14:paraId="2566892E" w14:textId="77777777" w:rsidR="00382288" w:rsidRPr="00CD19FA" w:rsidRDefault="00382288" w:rsidP="00A11D66">
      <w:pPr>
        <w:numPr>
          <w:ilvl w:val="0"/>
          <w:numId w:val="9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Tenant Transfer Procedure</w:t>
      </w:r>
    </w:p>
    <w:sectPr w:rsidR="00382288" w:rsidRPr="00CD19FA" w:rsidSect="00D60B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224A" w14:textId="77777777" w:rsidR="00A44477" w:rsidRDefault="00A44477" w:rsidP="00A75521">
      <w:pPr>
        <w:pStyle w:val="Header"/>
      </w:pPr>
      <w:r>
        <w:separator/>
      </w:r>
    </w:p>
  </w:endnote>
  <w:endnote w:type="continuationSeparator" w:id="0">
    <w:p w14:paraId="760864CE" w14:textId="77777777" w:rsidR="00A44477" w:rsidRDefault="00A44477" w:rsidP="00A7552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08A2" w14:textId="77777777" w:rsidR="002F2872" w:rsidRDefault="002F2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D062" w14:textId="5D42FEB4" w:rsidR="00AF3380" w:rsidRPr="00BC01F0" w:rsidRDefault="00AF3380" w:rsidP="00C43994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72"/>
      </w:tabs>
      <w:rPr>
        <w:rFonts w:ascii="Arial" w:hAnsi="Arial" w:cs="Arial"/>
        <w:sz w:val="16"/>
        <w:szCs w:val="16"/>
      </w:rPr>
    </w:pPr>
    <w:r w:rsidRPr="00BC01F0">
      <w:rPr>
        <w:rFonts w:ascii="Arial" w:hAnsi="Arial" w:cs="Arial"/>
        <w:sz w:val="16"/>
        <w:szCs w:val="16"/>
      </w:rPr>
      <w:fldChar w:fldCharType="begin"/>
    </w:r>
    <w:r w:rsidRPr="00BC01F0">
      <w:rPr>
        <w:rFonts w:ascii="Arial" w:hAnsi="Arial" w:cs="Arial"/>
        <w:sz w:val="16"/>
        <w:szCs w:val="16"/>
      </w:rPr>
      <w:instrText xml:space="preserve"> FILENAME </w:instrText>
    </w:r>
    <w:r w:rsidRPr="00BC01F0">
      <w:rPr>
        <w:rFonts w:ascii="Arial" w:hAnsi="Arial" w:cs="Arial"/>
        <w:sz w:val="16"/>
        <w:szCs w:val="16"/>
      </w:rPr>
      <w:fldChar w:fldCharType="separate"/>
    </w:r>
    <w:r w:rsidR="008721F5">
      <w:rPr>
        <w:rFonts w:ascii="Arial" w:hAnsi="Arial" w:cs="Arial"/>
        <w:noProof/>
        <w:sz w:val="16"/>
        <w:szCs w:val="16"/>
      </w:rPr>
      <w:t>Eligibility Policy</w:t>
    </w:r>
    <w:r w:rsidRPr="00BC01F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– v</w:t>
    </w:r>
    <w:r w:rsidR="002F2872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C01F0">
      <w:rPr>
        <w:rFonts w:ascii="Arial" w:hAnsi="Arial" w:cs="Arial"/>
        <w:sz w:val="16"/>
        <w:szCs w:val="16"/>
      </w:rPr>
      <w:t xml:space="preserve">Page </w:t>
    </w:r>
    <w:r w:rsidRPr="00BC01F0">
      <w:rPr>
        <w:rFonts w:ascii="Arial" w:hAnsi="Arial" w:cs="Arial"/>
        <w:sz w:val="16"/>
        <w:szCs w:val="16"/>
      </w:rPr>
      <w:fldChar w:fldCharType="begin"/>
    </w:r>
    <w:r w:rsidRPr="00BC01F0">
      <w:rPr>
        <w:rFonts w:ascii="Arial" w:hAnsi="Arial" w:cs="Arial"/>
        <w:sz w:val="16"/>
        <w:szCs w:val="16"/>
      </w:rPr>
      <w:instrText xml:space="preserve"> PAGE </w:instrText>
    </w:r>
    <w:r w:rsidRPr="00BC01F0">
      <w:rPr>
        <w:rFonts w:ascii="Arial" w:hAnsi="Arial" w:cs="Arial"/>
        <w:sz w:val="16"/>
        <w:szCs w:val="16"/>
      </w:rPr>
      <w:fldChar w:fldCharType="separate"/>
    </w:r>
    <w:r w:rsidR="00C246E3">
      <w:rPr>
        <w:rFonts w:ascii="Arial" w:hAnsi="Arial" w:cs="Arial"/>
        <w:noProof/>
        <w:sz w:val="16"/>
        <w:szCs w:val="16"/>
      </w:rPr>
      <w:t>1</w:t>
    </w:r>
    <w:r w:rsidRPr="00BC01F0">
      <w:rPr>
        <w:rFonts w:ascii="Arial" w:hAnsi="Arial" w:cs="Arial"/>
        <w:sz w:val="16"/>
        <w:szCs w:val="16"/>
      </w:rPr>
      <w:fldChar w:fldCharType="end"/>
    </w:r>
    <w:r w:rsidRPr="00BC01F0">
      <w:rPr>
        <w:rFonts w:ascii="Arial" w:hAnsi="Arial" w:cs="Arial"/>
        <w:sz w:val="16"/>
        <w:szCs w:val="16"/>
      </w:rPr>
      <w:t xml:space="preserve"> of </w:t>
    </w:r>
    <w:r w:rsidRPr="00BC01F0">
      <w:rPr>
        <w:rFonts w:ascii="Arial" w:hAnsi="Arial" w:cs="Arial"/>
        <w:sz w:val="16"/>
        <w:szCs w:val="16"/>
      </w:rPr>
      <w:fldChar w:fldCharType="begin"/>
    </w:r>
    <w:r w:rsidRPr="00BC01F0">
      <w:rPr>
        <w:rFonts w:ascii="Arial" w:hAnsi="Arial" w:cs="Arial"/>
        <w:sz w:val="16"/>
        <w:szCs w:val="16"/>
      </w:rPr>
      <w:instrText xml:space="preserve"> NUMPAGES </w:instrText>
    </w:r>
    <w:r w:rsidRPr="00BC01F0">
      <w:rPr>
        <w:rFonts w:ascii="Arial" w:hAnsi="Arial" w:cs="Arial"/>
        <w:sz w:val="16"/>
        <w:szCs w:val="16"/>
      </w:rPr>
      <w:fldChar w:fldCharType="separate"/>
    </w:r>
    <w:r w:rsidR="00C246E3">
      <w:rPr>
        <w:rFonts w:ascii="Arial" w:hAnsi="Arial" w:cs="Arial"/>
        <w:noProof/>
        <w:sz w:val="16"/>
        <w:szCs w:val="16"/>
      </w:rPr>
      <w:t>2</w:t>
    </w:r>
    <w:r w:rsidRPr="00BC01F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D104" w14:textId="77777777" w:rsidR="002F2872" w:rsidRDefault="002F2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7D8E" w14:textId="77777777" w:rsidR="00A44477" w:rsidRDefault="00A44477" w:rsidP="00A75521">
      <w:pPr>
        <w:pStyle w:val="Header"/>
      </w:pPr>
      <w:r>
        <w:separator/>
      </w:r>
    </w:p>
  </w:footnote>
  <w:footnote w:type="continuationSeparator" w:id="0">
    <w:p w14:paraId="633DD853" w14:textId="77777777" w:rsidR="00A44477" w:rsidRDefault="00A44477" w:rsidP="00A75521">
      <w:pPr>
        <w:pStyle w:val="Header"/>
      </w:pPr>
      <w:r>
        <w:continuationSeparator/>
      </w:r>
    </w:p>
  </w:footnote>
  <w:footnote w:id="1">
    <w:p w14:paraId="08428BF1" w14:textId="77777777" w:rsidR="003D3F01" w:rsidRPr="00F46485" w:rsidRDefault="003D3F01">
      <w:pPr>
        <w:pStyle w:val="FootnoteText"/>
        <w:rPr>
          <w:rFonts w:ascii="Arial" w:hAnsi="Arial" w:cs="Arial"/>
        </w:rPr>
      </w:pPr>
      <w:r w:rsidRPr="00F46485">
        <w:rPr>
          <w:rStyle w:val="FootnoteReference"/>
          <w:rFonts w:ascii="Arial" w:hAnsi="Arial" w:cs="Arial"/>
        </w:rPr>
        <w:footnoteRef/>
      </w:r>
      <w:r w:rsidR="00C4353B">
        <w:rPr>
          <w:rFonts w:ascii="Arial" w:hAnsi="Arial" w:cs="Arial"/>
        </w:rPr>
        <w:t xml:space="preserve"> Available </w:t>
      </w:r>
      <w:r w:rsidRPr="00F46485">
        <w:rPr>
          <w:rFonts w:ascii="Arial" w:hAnsi="Arial" w:cs="Arial"/>
        </w:rPr>
        <w:t>on the DHPW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E5F5" w14:textId="77777777" w:rsidR="002F2872" w:rsidRDefault="002F2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B97D" w14:textId="77777777" w:rsidR="00D45F76" w:rsidRDefault="00D45F76" w:rsidP="00D45F76">
    <w:pPr>
      <w:pStyle w:val="Header"/>
      <w:tabs>
        <w:tab w:val="left" w:pos="1425"/>
      </w:tabs>
      <w:rPr>
        <w:rFonts w:ascii="Arial" w:hAnsi="Arial" w:cs="Arial"/>
      </w:rPr>
    </w:pPr>
    <w:r>
      <w:rPr>
        <w:rFonts w:ascii="Arial" w:hAnsi="Arial" w:cs="Arial"/>
      </w:rPr>
      <w:tab/>
    </w:r>
  </w:p>
  <w:tbl>
    <w:tblPr>
      <w:tblW w:w="9288" w:type="dxa"/>
      <w:tblBorders>
        <w:bottom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12"/>
      <w:gridCol w:w="2376"/>
    </w:tblGrid>
    <w:tr w:rsidR="00D45F76" w:rsidRPr="0002059B" w14:paraId="07F789C3" w14:textId="77777777" w:rsidTr="00DC6E09">
      <w:tc>
        <w:tcPr>
          <w:tcW w:w="6912" w:type="dxa"/>
          <w:shd w:val="clear" w:color="auto" w:fill="auto"/>
        </w:tcPr>
        <w:p w14:paraId="6ABABC63" w14:textId="77777777" w:rsidR="00D45F76" w:rsidRPr="0002059B" w:rsidRDefault="00D45F76" w:rsidP="00D45F76">
          <w:pPr>
            <w:pStyle w:val="Header"/>
            <w:tabs>
              <w:tab w:val="clear" w:pos="4153"/>
              <w:tab w:val="clear" w:pos="8306"/>
            </w:tabs>
            <w:spacing w:before="120"/>
            <w:rPr>
              <w:rFonts w:ascii="Arial" w:hAnsi="Arial" w:cs="Arial"/>
            </w:rPr>
          </w:pPr>
          <w:r w:rsidRPr="0002059B">
            <w:rPr>
              <w:rFonts w:ascii="Arial" w:hAnsi="Arial" w:cs="Arial"/>
            </w:rPr>
            <w:t>Management System</w:t>
          </w:r>
        </w:p>
        <w:p w14:paraId="18DA02DA" w14:textId="77777777" w:rsidR="00D45F76" w:rsidRPr="0002059B" w:rsidRDefault="00D45F76" w:rsidP="00D45F76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</w:p>
        <w:p w14:paraId="7EAC1359" w14:textId="77777777" w:rsidR="00D45F76" w:rsidRPr="0002059B" w:rsidRDefault="00D45F76" w:rsidP="00D45F76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Policy</w:t>
          </w:r>
        </w:p>
      </w:tc>
      <w:tc>
        <w:tcPr>
          <w:tcW w:w="2376" w:type="dxa"/>
          <w:shd w:val="clear" w:color="auto" w:fill="auto"/>
        </w:tcPr>
        <w:p w14:paraId="2A6F3957" w14:textId="77777777" w:rsidR="00D45F76" w:rsidRPr="0002059B" w:rsidRDefault="00D45F76" w:rsidP="00D45F76">
          <w:pPr>
            <w:pStyle w:val="Header"/>
            <w:tabs>
              <w:tab w:val="clear" w:pos="4153"/>
              <w:tab w:val="clear" w:pos="8306"/>
              <w:tab w:val="right" w:pos="4991"/>
            </w:tabs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E6CB86F" wp14:editId="6BEC55CF">
                <wp:extent cx="1419225" cy="771525"/>
                <wp:effectExtent l="0" t="0" r="9525" b="952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63F001" w14:textId="6426D874" w:rsidR="00AF3380" w:rsidRPr="00CD19FA" w:rsidRDefault="00D45F76" w:rsidP="00D45F76">
    <w:pPr>
      <w:pStyle w:val="Header"/>
      <w:tabs>
        <w:tab w:val="left" w:pos="142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A78D" w14:textId="77777777" w:rsidR="002F2872" w:rsidRDefault="002F2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1273"/>
    <w:multiLevelType w:val="hybridMultilevel"/>
    <w:tmpl w:val="10583D24"/>
    <w:lvl w:ilvl="0" w:tplc="29F85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0585"/>
    <w:multiLevelType w:val="hybridMultilevel"/>
    <w:tmpl w:val="C84ED346"/>
    <w:lvl w:ilvl="0" w:tplc="70665D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13C8"/>
    <w:multiLevelType w:val="multilevel"/>
    <w:tmpl w:val="C84ED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232E"/>
    <w:multiLevelType w:val="multilevel"/>
    <w:tmpl w:val="87BCD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A2CFD"/>
    <w:multiLevelType w:val="hybridMultilevel"/>
    <w:tmpl w:val="32E26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27042"/>
    <w:multiLevelType w:val="multilevel"/>
    <w:tmpl w:val="10583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C5485"/>
    <w:multiLevelType w:val="hybridMultilevel"/>
    <w:tmpl w:val="89B45A22"/>
    <w:lvl w:ilvl="0" w:tplc="6FEAB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602CD"/>
    <w:multiLevelType w:val="hybridMultilevel"/>
    <w:tmpl w:val="508A33F6"/>
    <w:lvl w:ilvl="0" w:tplc="E01420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7705F"/>
    <w:multiLevelType w:val="hybridMultilevel"/>
    <w:tmpl w:val="97365CAE"/>
    <w:lvl w:ilvl="0" w:tplc="0D8627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175F"/>
    <w:multiLevelType w:val="hybridMultilevel"/>
    <w:tmpl w:val="87BCD6FC"/>
    <w:lvl w:ilvl="0" w:tplc="6504E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D7394"/>
    <w:multiLevelType w:val="multilevel"/>
    <w:tmpl w:val="89B45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F0913"/>
    <w:multiLevelType w:val="multilevel"/>
    <w:tmpl w:val="97365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557D9"/>
    <w:multiLevelType w:val="hybridMultilevel"/>
    <w:tmpl w:val="E90642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741223"/>
    <w:multiLevelType w:val="hybridMultilevel"/>
    <w:tmpl w:val="DB04D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FA"/>
    <w:rsid w:val="0005149B"/>
    <w:rsid w:val="00063EF7"/>
    <w:rsid w:val="000911C4"/>
    <w:rsid w:val="0009175C"/>
    <w:rsid w:val="000A0779"/>
    <w:rsid w:val="000A7538"/>
    <w:rsid w:val="000B16BC"/>
    <w:rsid w:val="000D7937"/>
    <w:rsid w:val="00126A46"/>
    <w:rsid w:val="00144573"/>
    <w:rsid w:val="0015006A"/>
    <w:rsid w:val="00153DC2"/>
    <w:rsid w:val="00190E8C"/>
    <w:rsid w:val="002013E2"/>
    <w:rsid w:val="002113D5"/>
    <w:rsid w:val="00214536"/>
    <w:rsid w:val="00224EE1"/>
    <w:rsid w:val="00243B4E"/>
    <w:rsid w:val="00252EFF"/>
    <w:rsid w:val="002727A2"/>
    <w:rsid w:val="00274936"/>
    <w:rsid w:val="002A0352"/>
    <w:rsid w:val="002A7664"/>
    <w:rsid w:val="002C2821"/>
    <w:rsid w:val="002C3770"/>
    <w:rsid w:val="002C52D8"/>
    <w:rsid w:val="002E0F6F"/>
    <w:rsid w:val="002F2872"/>
    <w:rsid w:val="003116CC"/>
    <w:rsid w:val="00316CAC"/>
    <w:rsid w:val="0033335A"/>
    <w:rsid w:val="00340712"/>
    <w:rsid w:val="003472A8"/>
    <w:rsid w:val="003615F9"/>
    <w:rsid w:val="003644E0"/>
    <w:rsid w:val="00382288"/>
    <w:rsid w:val="00384EB5"/>
    <w:rsid w:val="00390BED"/>
    <w:rsid w:val="00397BF7"/>
    <w:rsid w:val="003C18E3"/>
    <w:rsid w:val="003D3F01"/>
    <w:rsid w:val="00420758"/>
    <w:rsid w:val="00424C4B"/>
    <w:rsid w:val="00453832"/>
    <w:rsid w:val="00477785"/>
    <w:rsid w:val="00494F60"/>
    <w:rsid w:val="004A2AB1"/>
    <w:rsid w:val="004C23D6"/>
    <w:rsid w:val="00504D7B"/>
    <w:rsid w:val="0053786D"/>
    <w:rsid w:val="0055388B"/>
    <w:rsid w:val="005700A8"/>
    <w:rsid w:val="00571256"/>
    <w:rsid w:val="0059487E"/>
    <w:rsid w:val="005E2026"/>
    <w:rsid w:val="005E2BC9"/>
    <w:rsid w:val="005E7856"/>
    <w:rsid w:val="005F33A1"/>
    <w:rsid w:val="006111B2"/>
    <w:rsid w:val="00633A98"/>
    <w:rsid w:val="00646799"/>
    <w:rsid w:val="00650C97"/>
    <w:rsid w:val="00656069"/>
    <w:rsid w:val="00662C8F"/>
    <w:rsid w:val="006C4808"/>
    <w:rsid w:val="006D6C5F"/>
    <w:rsid w:val="006E570C"/>
    <w:rsid w:val="0070323E"/>
    <w:rsid w:val="007515E3"/>
    <w:rsid w:val="007918A6"/>
    <w:rsid w:val="007C7413"/>
    <w:rsid w:val="007D61ED"/>
    <w:rsid w:val="008206B3"/>
    <w:rsid w:val="00834B4A"/>
    <w:rsid w:val="00856956"/>
    <w:rsid w:val="008626FE"/>
    <w:rsid w:val="00864386"/>
    <w:rsid w:val="008721F5"/>
    <w:rsid w:val="00876B02"/>
    <w:rsid w:val="008B0E4B"/>
    <w:rsid w:val="008C7CA4"/>
    <w:rsid w:val="008D0B85"/>
    <w:rsid w:val="008D65F0"/>
    <w:rsid w:val="00914525"/>
    <w:rsid w:val="0091485D"/>
    <w:rsid w:val="009563B6"/>
    <w:rsid w:val="009906F1"/>
    <w:rsid w:val="009C492F"/>
    <w:rsid w:val="009D19D2"/>
    <w:rsid w:val="009E39FF"/>
    <w:rsid w:val="00A11D66"/>
    <w:rsid w:val="00A4368F"/>
    <w:rsid w:val="00A44477"/>
    <w:rsid w:val="00A4691D"/>
    <w:rsid w:val="00A75521"/>
    <w:rsid w:val="00A82C46"/>
    <w:rsid w:val="00AD3893"/>
    <w:rsid w:val="00AD76B8"/>
    <w:rsid w:val="00AF1CFD"/>
    <w:rsid w:val="00AF29EE"/>
    <w:rsid w:val="00AF3380"/>
    <w:rsid w:val="00AF5582"/>
    <w:rsid w:val="00B53FA5"/>
    <w:rsid w:val="00BA5457"/>
    <w:rsid w:val="00BC01F0"/>
    <w:rsid w:val="00BE73C5"/>
    <w:rsid w:val="00C174B6"/>
    <w:rsid w:val="00C246E3"/>
    <w:rsid w:val="00C32677"/>
    <w:rsid w:val="00C4353B"/>
    <w:rsid w:val="00C43994"/>
    <w:rsid w:val="00C603AE"/>
    <w:rsid w:val="00C858D5"/>
    <w:rsid w:val="00CD19FA"/>
    <w:rsid w:val="00CE367C"/>
    <w:rsid w:val="00D12290"/>
    <w:rsid w:val="00D36288"/>
    <w:rsid w:val="00D42F3E"/>
    <w:rsid w:val="00D45F76"/>
    <w:rsid w:val="00D60B66"/>
    <w:rsid w:val="00D72DB3"/>
    <w:rsid w:val="00D85777"/>
    <w:rsid w:val="00DA6D32"/>
    <w:rsid w:val="00DB5D32"/>
    <w:rsid w:val="00DE342F"/>
    <w:rsid w:val="00E02D0A"/>
    <w:rsid w:val="00E05E68"/>
    <w:rsid w:val="00E3215A"/>
    <w:rsid w:val="00E3352C"/>
    <w:rsid w:val="00E444C8"/>
    <w:rsid w:val="00E47826"/>
    <w:rsid w:val="00E563FB"/>
    <w:rsid w:val="00E761C0"/>
    <w:rsid w:val="00E8664E"/>
    <w:rsid w:val="00E9481D"/>
    <w:rsid w:val="00EB3B35"/>
    <w:rsid w:val="00EC66C6"/>
    <w:rsid w:val="00EC6901"/>
    <w:rsid w:val="00EC7ADD"/>
    <w:rsid w:val="00ED1687"/>
    <w:rsid w:val="00EE3EE7"/>
    <w:rsid w:val="00EF0810"/>
    <w:rsid w:val="00EF77C5"/>
    <w:rsid w:val="00F05328"/>
    <w:rsid w:val="00F07C89"/>
    <w:rsid w:val="00F25994"/>
    <w:rsid w:val="00F346AC"/>
    <w:rsid w:val="00F40241"/>
    <w:rsid w:val="00F46485"/>
    <w:rsid w:val="00F50F4C"/>
    <w:rsid w:val="00F74DCE"/>
    <w:rsid w:val="00F94DC8"/>
    <w:rsid w:val="00FB67C1"/>
    <w:rsid w:val="00FE7AED"/>
    <w:rsid w:val="00FF0597"/>
    <w:rsid w:val="00FF1B1A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7511F9"/>
  <w15:chartTrackingRefBased/>
  <w15:docId w15:val="{86325446-C06C-49CA-838F-E94ED6E8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5F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500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42F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19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19F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D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rsid w:val="00FE7AED"/>
    <w:pPr>
      <w:autoSpaceDE w:val="0"/>
      <w:autoSpaceDN w:val="0"/>
      <w:adjustRightInd w:val="0"/>
      <w:spacing w:line="241" w:lineRule="atLeast"/>
    </w:pPr>
    <w:rPr>
      <w:rFonts w:ascii="Avenir 35 Light" w:hAnsi="Avenir 35 Light"/>
    </w:rPr>
  </w:style>
  <w:style w:type="paragraph" w:styleId="BalloonText">
    <w:name w:val="Balloon Text"/>
    <w:basedOn w:val="Normal"/>
    <w:semiHidden/>
    <w:rsid w:val="000B16B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A76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664"/>
  </w:style>
  <w:style w:type="paragraph" w:styleId="CommentSubject">
    <w:name w:val="annotation subject"/>
    <w:basedOn w:val="CommentText"/>
    <w:next w:val="CommentText"/>
    <w:link w:val="CommentSubjectChar"/>
    <w:rsid w:val="002A7664"/>
    <w:rPr>
      <w:b/>
      <w:bCs/>
    </w:rPr>
  </w:style>
  <w:style w:type="character" w:customStyle="1" w:styleId="CommentSubjectChar">
    <w:name w:val="Comment Subject Char"/>
    <w:link w:val="CommentSubject"/>
    <w:rsid w:val="002A7664"/>
    <w:rPr>
      <w:b/>
      <w:bCs/>
    </w:rPr>
  </w:style>
  <w:style w:type="paragraph" w:styleId="NormalWeb">
    <w:name w:val="Normal (Web)"/>
    <w:basedOn w:val="Normal"/>
    <w:semiHidden/>
    <w:rsid w:val="00FF0597"/>
  </w:style>
  <w:style w:type="paragraph" w:styleId="FootnoteText">
    <w:name w:val="footnote text"/>
    <w:basedOn w:val="Normal"/>
    <w:link w:val="FootnoteTextChar"/>
    <w:rsid w:val="00EE3E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3EE7"/>
  </w:style>
  <w:style w:type="character" w:styleId="FootnoteReference">
    <w:name w:val="footnote reference"/>
    <w:rsid w:val="00EE3EE7"/>
    <w:rPr>
      <w:vertAlign w:val="superscript"/>
    </w:rPr>
  </w:style>
  <w:style w:type="paragraph" w:customStyle="1" w:styleId="CGQHeading1">
    <w:name w:val="CGQ Heading 1"/>
    <w:basedOn w:val="Normal"/>
    <w:link w:val="CGQHeading1Char"/>
    <w:rsid w:val="00F94DC8"/>
    <w:pPr>
      <w:spacing w:line="280" w:lineRule="atLeast"/>
    </w:pPr>
    <w:rPr>
      <w:rFonts w:ascii="Arial" w:hAnsi="Arial" w:cs="Arial"/>
      <w:b/>
    </w:rPr>
  </w:style>
  <w:style w:type="paragraph" w:customStyle="1" w:styleId="CGQSubheading">
    <w:name w:val="CGQ Subheading"/>
    <w:basedOn w:val="Normal"/>
    <w:link w:val="CGQSubheadingChar"/>
    <w:rsid w:val="00F94DC8"/>
    <w:pPr>
      <w:spacing w:after="120" w:line="280" w:lineRule="atLeast"/>
    </w:pPr>
    <w:rPr>
      <w:rFonts w:ascii="Arial" w:hAnsi="Arial" w:cs="Avenir 35 Light"/>
      <w:b/>
      <w:color w:val="000000"/>
      <w:sz w:val="20"/>
      <w:szCs w:val="23"/>
    </w:rPr>
  </w:style>
  <w:style w:type="character" w:customStyle="1" w:styleId="CGQHeading1Char">
    <w:name w:val="CGQ Heading 1 Char"/>
    <w:basedOn w:val="DefaultParagraphFont"/>
    <w:link w:val="CGQHeading1"/>
    <w:rsid w:val="00F94DC8"/>
    <w:rPr>
      <w:rFonts w:ascii="Arial" w:hAnsi="Arial" w:cs="Arial"/>
      <w:b/>
      <w:sz w:val="24"/>
      <w:szCs w:val="24"/>
    </w:rPr>
  </w:style>
  <w:style w:type="character" w:customStyle="1" w:styleId="CGQSubheadingChar">
    <w:name w:val="CGQ Subheading Char"/>
    <w:basedOn w:val="DefaultParagraphFont"/>
    <w:link w:val="CGQSubheading"/>
    <w:rsid w:val="00F94DC8"/>
    <w:rPr>
      <w:rFonts w:ascii="Arial" w:hAnsi="Arial" w:cs="Avenir 35 Light"/>
      <w:b/>
      <w:color w:val="000000"/>
      <w:szCs w:val="23"/>
    </w:rPr>
  </w:style>
  <w:style w:type="paragraph" w:styleId="Title">
    <w:name w:val="Title"/>
    <w:basedOn w:val="Normal"/>
    <w:next w:val="Normal"/>
    <w:link w:val="TitleChar"/>
    <w:qFormat/>
    <w:rsid w:val="005700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0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D45F7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5006A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42F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45F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D81CF50400842823902D055956492" ma:contentTypeVersion="11" ma:contentTypeDescription="Create a new document." ma:contentTypeScope="" ma:versionID="c84501f6bd5e7a7f6ab667342d865b96">
  <xsd:schema xmlns:xsd="http://www.w3.org/2001/XMLSchema" xmlns:xs="http://www.w3.org/2001/XMLSchema" xmlns:p="http://schemas.microsoft.com/office/2006/metadata/properties" xmlns:ns2="660c5c05-d9db-4dac-919e-33fa97c2c359" targetNamespace="http://schemas.microsoft.com/office/2006/metadata/properties" ma:root="true" ma:fieldsID="bfc8f52565de1b854a342354ec186cf6" ns2:_="">
    <xsd:import namespace="660c5c05-d9db-4dac-919e-33fa97c2c359"/>
    <xsd:element name="properties">
      <xsd:complexType>
        <xsd:sequence>
          <xsd:element name="documentManagement">
            <xsd:complexType>
              <xsd:all>
                <xsd:element ref="ns2:MediaServiceKeyPoints" minOccurs="0"/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c5c05-d9db-4dac-919e-33fa97c2c359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767C9-791D-4A2E-8A02-6171B9090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c5c05-d9db-4dac-919e-33fa97c2c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1F39D-6BC7-40A6-A97D-7E6BC772B4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4FBC61-9B78-4C71-8724-D19162765D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7EA9C-4B09-44B2-BAD5-4CB5B0B91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MICAH Projects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dan.cosgrove</dc:creator>
  <cp:keywords/>
  <cp:lastModifiedBy>Stevie Ackerman</cp:lastModifiedBy>
  <cp:revision>16</cp:revision>
  <cp:lastPrinted>2017-03-28T04:33:00Z</cp:lastPrinted>
  <dcterms:created xsi:type="dcterms:W3CDTF">2022-02-21T23:45:00Z</dcterms:created>
  <dcterms:modified xsi:type="dcterms:W3CDTF">2022-04-04T04:19:00Z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0x0101007F8D81CF50400842823902D055956492</vt:lpwstr>
  </property>
</Properties>
</file>