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00A1" w14:textId="1AC3951B" w:rsidR="0090394F" w:rsidRPr="003761F0" w:rsidRDefault="003761F0" w:rsidP="00D004DF">
      <w:pPr>
        <w:spacing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</w:t>
      </w:r>
      <w:r w:rsidR="00C146A5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ocument has been edited in accordance with accessibility guidelines for text-</w:t>
      </w:r>
      <w:r w:rsidR="001303D7">
        <w:rPr>
          <w:rFonts w:ascii="Arial" w:hAnsi="Arial" w:cs="Arial"/>
          <w:bCs/>
          <w:sz w:val="20"/>
          <w:szCs w:val="20"/>
        </w:rPr>
        <w:t xml:space="preserve">to-audio software. </w:t>
      </w:r>
    </w:p>
    <w:p w14:paraId="3FE8DFCE" w14:textId="167C9190" w:rsidR="00E05E68" w:rsidRPr="006667A0" w:rsidRDefault="008C3D08" w:rsidP="006667A0">
      <w:pPr>
        <w:pStyle w:val="Heading1"/>
      </w:pPr>
      <w:r w:rsidRPr="006667A0">
        <w:t>Access and Equity</w:t>
      </w:r>
      <w:r w:rsidR="00300E69" w:rsidRPr="006667A0">
        <w:t xml:space="preserve"> Policy</w:t>
      </w:r>
    </w:p>
    <w:p w14:paraId="74A73870" w14:textId="77777777" w:rsidR="008B6731" w:rsidRDefault="001D5E40" w:rsidP="008B11C7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Common Ground Queensland</w:t>
      </w:r>
      <w:r w:rsidRPr="001D5E40">
        <w:rPr>
          <w:rFonts w:ascii="Arial" w:hAnsi="Arial" w:cs="Arial"/>
          <w:sz w:val="20"/>
          <w:szCs w:val="20"/>
        </w:rPr>
        <w:t xml:space="preserve"> aims to ensure that:</w:t>
      </w:r>
    </w:p>
    <w:p w14:paraId="4E2D0CE2" w14:textId="77777777" w:rsidR="00030B67" w:rsidRPr="008B11C7" w:rsidRDefault="005B5F24" w:rsidP="00C14B77">
      <w:pPr>
        <w:numPr>
          <w:ilvl w:val="0"/>
          <w:numId w:val="13"/>
        </w:numPr>
        <w:spacing w:after="60" w:line="280" w:lineRule="atLeast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accordance with the Common Ground Queensland </w:t>
      </w:r>
      <w:r w:rsidRPr="005B5F24">
        <w:rPr>
          <w:rFonts w:ascii="Arial" w:hAnsi="Arial" w:cs="Arial"/>
          <w:i/>
          <w:sz w:val="20"/>
          <w:szCs w:val="20"/>
        </w:rPr>
        <w:t>Eligibility Policy</w:t>
      </w:r>
      <w:r>
        <w:rPr>
          <w:rFonts w:ascii="Arial" w:hAnsi="Arial" w:cs="Arial"/>
          <w:sz w:val="20"/>
          <w:szCs w:val="20"/>
        </w:rPr>
        <w:t>, a</w:t>
      </w:r>
      <w:r w:rsidR="001D5E40" w:rsidRPr="001D5E40">
        <w:rPr>
          <w:rFonts w:ascii="Arial" w:hAnsi="Arial" w:cs="Arial"/>
          <w:sz w:val="20"/>
          <w:szCs w:val="20"/>
        </w:rPr>
        <w:t xml:space="preserve">ll people, regardless of race, </w:t>
      </w:r>
      <w:r w:rsidR="00114E12">
        <w:rPr>
          <w:rFonts w:ascii="Arial" w:hAnsi="Arial" w:cs="Arial"/>
          <w:sz w:val="20"/>
          <w:szCs w:val="20"/>
        </w:rPr>
        <w:t xml:space="preserve">nationality, </w:t>
      </w:r>
      <w:r w:rsidR="00FF4DAE">
        <w:rPr>
          <w:rFonts w:ascii="Arial" w:hAnsi="Arial" w:cs="Arial"/>
          <w:sz w:val="20"/>
          <w:szCs w:val="20"/>
        </w:rPr>
        <w:t>cultural</w:t>
      </w:r>
      <w:r w:rsidR="00114E12">
        <w:rPr>
          <w:rFonts w:ascii="Arial" w:hAnsi="Arial" w:cs="Arial"/>
          <w:sz w:val="20"/>
          <w:szCs w:val="20"/>
        </w:rPr>
        <w:t xml:space="preserve"> background</w:t>
      </w:r>
      <w:r w:rsidR="001D5E40" w:rsidRPr="001D5E40">
        <w:rPr>
          <w:rFonts w:ascii="Arial" w:hAnsi="Arial" w:cs="Arial"/>
          <w:sz w:val="20"/>
          <w:szCs w:val="20"/>
        </w:rPr>
        <w:t>,</w:t>
      </w:r>
      <w:r w:rsidR="00A622FA">
        <w:rPr>
          <w:rFonts w:ascii="Arial" w:hAnsi="Arial" w:cs="Arial"/>
          <w:sz w:val="20"/>
          <w:szCs w:val="20"/>
        </w:rPr>
        <w:t xml:space="preserve"> religion, age, gender, </w:t>
      </w:r>
      <w:r w:rsidR="00114E12">
        <w:rPr>
          <w:rFonts w:ascii="Arial" w:hAnsi="Arial" w:cs="Arial"/>
          <w:sz w:val="20"/>
          <w:szCs w:val="20"/>
        </w:rPr>
        <w:t xml:space="preserve">sexuality, </w:t>
      </w:r>
      <w:r w:rsidR="00A622FA">
        <w:rPr>
          <w:rFonts w:ascii="Arial" w:hAnsi="Arial" w:cs="Arial"/>
          <w:sz w:val="20"/>
          <w:szCs w:val="20"/>
        </w:rPr>
        <w:t>ability or</w:t>
      </w:r>
      <w:r w:rsidR="001D5E40" w:rsidRPr="001D5E40">
        <w:rPr>
          <w:rFonts w:ascii="Arial" w:hAnsi="Arial" w:cs="Arial"/>
          <w:sz w:val="20"/>
          <w:szCs w:val="20"/>
        </w:rPr>
        <w:t xml:space="preserve"> disability, have equal ac</w:t>
      </w:r>
      <w:r w:rsidR="001D5E40">
        <w:rPr>
          <w:rFonts w:ascii="Arial" w:hAnsi="Arial" w:cs="Arial"/>
          <w:sz w:val="20"/>
          <w:szCs w:val="20"/>
        </w:rPr>
        <w:t xml:space="preserve">cess to </w:t>
      </w:r>
      <w:r w:rsidR="00AE2036">
        <w:rPr>
          <w:rFonts w:ascii="Arial" w:hAnsi="Arial" w:cs="Arial"/>
          <w:sz w:val="20"/>
          <w:szCs w:val="20"/>
        </w:rPr>
        <w:t xml:space="preserve">its </w:t>
      </w:r>
      <w:r w:rsidR="001D5E40">
        <w:rPr>
          <w:rFonts w:ascii="Arial" w:hAnsi="Arial" w:cs="Arial"/>
          <w:sz w:val="20"/>
          <w:szCs w:val="20"/>
        </w:rPr>
        <w:t>supportive housing</w:t>
      </w:r>
      <w:r w:rsidR="00AE2036">
        <w:rPr>
          <w:rFonts w:ascii="Arial" w:hAnsi="Arial" w:cs="Arial"/>
          <w:sz w:val="20"/>
          <w:szCs w:val="20"/>
        </w:rPr>
        <w:t xml:space="preserve"> </w:t>
      </w:r>
      <w:r w:rsidR="000540C1">
        <w:rPr>
          <w:rFonts w:ascii="Arial" w:hAnsi="Arial" w:cs="Arial"/>
          <w:sz w:val="20"/>
          <w:szCs w:val="20"/>
        </w:rPr>
        <w:t>properties</w:t>
      </w:r>
      <w:r>
        <w:rPr>
          <w:rFonts w:ascii="Arial" w:hAnsi="Arial" w:cs="Arial"/>
          <w:sz w:val="20"/>
          <w:szCs w:val="20"/>
        </w:rPr>
        <w:t>.</w:t>
      </w:r>
    </w:p>
    <w:p w14:paraId="31541F08" w14:textId="77777777" w:rsidR="00030B67" w:rsidRPr="008B11C7" w:rsidRDefault="00556851" w:rsidP="00C14B77">
      <w:pPr>
        <w:numPr>
          <w:ilvl w:val="0"/>
          <w:numId w:val="13"/>
        </w:numPr>
        <w:spacing w:after="60" w:line="280" w:lineRule="atLeast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D5E40" w:rsidRPr="001D5E40">
        <w:rPr>
          <w:rFonts w:ascii="Arial" w:hAnsi="Arial" w:cs="Arial"/>
          <w:sz w:val="20"/>
          <w:szCs w:val="20"/>
        </w:rPr>
        <w:t xml:space="preserve">ll people, regardless of race, </w:t>
      </w:r>
      <w:r w:rsidR="00114E12">
        <w:rPr>
          <w:rFonts w:ascii="Arial" w:hAnsi="Arial" w:cs="Arial"/>
          <w:sz w:val="20"/>
          <w:szCs w:val="20"/>
        </w:rPr>
        <w:t xml:space="preserve">nationality, </w:t>
      </w:r>
      <w:r w:rsidR="00FF4DAE">
        <w:rPr>
          <w:rFonts w:ascii="Arial" w:hAnsi="Arial" w:cs="Arial"/>
          <w:sz w:val="20"/>
          <w:szCs w:val="20"/>
        </w:rPr>
        <w:t>cultural</w:t>
      </w:r>
      <w:r w:rsidR="00114E12">
        <w:rPr>
          <w:rFonts w:ascii="Arial" w:hAnsi="Arial" w:cs="Arial"/>
          <w:sz w:val="20"/>
          <w:szCs w:val="20"/>
        </w:rPr>
        <w:t xml:space="preserve"> background</w:t>
      </w:r>
      <w:r w:rsidR="001D5E40" w:rsidRPr="001D5E40">
        <w:rPr>
          <w:rFonts w:ascii="Arial" w:hAnsi="Arial" w:cs="Arial"/>
          <w:sz w:val="20"/>
          <w:szCs w:val="20"/>
        </w:rPr>
        <w:t>,</w:t>
      </w:r>
      <w:r w:rsidR="00A622FA">
        <w:rPr>
          <w:rFonts w:ascii="Arial" w:hAnsi="Arial" w:cs="Arial"/>
          <w:sz w:val="20"/>
          <w:szCs w:val="20"/>
        </w:rPr>
        <w:t xml:space="preserve"> religion, age, gender, </w:t>
      </w:r>
      <w:r w:rsidR="00114E12">
        <w:rPr>
          <w:rFonts w:ascii="Arial" w:hAnsi="Arial" w:cs="Arial"/>
          <w:sz w:val="20"/>
          <w:szCs w:val="20"/>
        </w:rPr>
        <w:t xml:space="preserve">sexuality, </w:t>
      </w:r>
      <w:r w:rsidR="00A622FA">
        <w:rPr>
          <w:rFonts w:ascii="Arial" w:hAnsi="Arial" w:cs="Arial"/>
          <w:sz w:val="20"/>
          <w:szCs w:val="20"/>
        </w:rPr>
        <w:t xml:space="preserve">ability or </w:t>
      </w:r>
      <w:r w:rsidR="001D5E40" w:rsidRPr="001D5E40">
        <w:rPr>
          <w:rFonts w:ascii="Arial" w:hAnsi="Arial" w:cs="Arial"/>
          <w:sz w:val="20"/>
          <w:szCs w:val="20"/>
        </w:rPr>
        <w:t>disability, have an equal opportunity to participate in the wor</w:t>
      </w:r>
      <w:r w:rsidR="00822094">
        <w:rPr>
          <w:rFonts w:ascii="Arial" w:hAnsi="Arial" w:cs="Arial"/>
          <w:sz w:val="20"/>
          <w:szCs w:val="20"/>
        </w:rPr>
        <w:t>k program, management, staffing</w:t>
      </w:r>
      <w:r w:rsidR="001D5E40" w:rsidRPr="001D5E40">
        <w:rPr>
          <w:rFonts w:ascii="Arial" w:hAnsi="Arial" w:cs="Arial"/>
          <w:sz w:val="20"/>
          <w:szCs w:val="20"/>
        </w:rPr>
        <w:t xml:space="preserve"> and</w:t>
      </w:r>
      <w:r w:rsidR="001D5E40">
        <w:rPr>
          <w:rFonts w:ascii="Arial" w:hAnsi="Arial" w:cs="Arial"/>
          <w:sz w:val="20"/>
          <w:szCs w:val="20"/>
        </w:rPr>
        <w:t xml:space="preserve"> membership of Common Ground Queensland</w:t>
      </w:r>
      <w:r w:rsidR="005F5953">
        <w:rPr>
          <w:rFonts w:ascii="Arial" w:hAnsi="Arial" w:cs="Arial"/>
          <w:sz w:val="20"/>
          <w:szCs w:val="20"/>
        </w:rPr>
        <w:t>.</w:t>
      </w:r>
    </w:p>
    <w:p w14:paraId="03374316" w14:textId="77777777" w:rsidR="00030B67" w:rsidRPr="008B11C7" w:rsidRDefault="00556851" w:rsidP="00C14B77">
      <w:pPr>
        <w:numPr>
          <w:ilvl w:val="0"/>
          <w:numId w:val="13"/>
        </w:numPr>
        <w:spacing w:after="60" w:line="280" w:lineRule="atLeast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D5E40" w:rsidRPr="001D5E40">
        <w:rPr>
          <w:rFonts w:ascii="Arial" w:hAnsi="Arial" w:cs="Arial"/>
          <w:sz w:val="20"/>
          <w:szCs w:val="20"/>
        </w:rPr>
        <w:t>ll policies, programs and</w:t>
      </w:r>
      <w:r w:rsidR="001D5E40">
        <w:rPr>
          <w:rFonts w:ascii="Arial" w:hAnsi="Arial" w:cs="Arial"/>
          <w:sz w:val="20"/>
          <w:szCs w:val="20"/>
        </w:rPr>
        <w:t xml:space="preserve"> aspects of</w:t>
      </w:r>
      <w:r w:rsidR="001D5E40" w:rsidRPr="001D5E40">
        <w:rPr>
          <w:rFonts w:ascii="Arial" w:hAnsi="Arial" w:cs="Arial"/>
          <w:sz w:val="20"/>
          <w:szCs w:val="20"/>
        </w:rPr>
        <w:t xml:space="preserve"> service delivery are inclusive of the diverse range of factors affecting people from differing racial, linguistic, cultural and religious backgrounds, ages, genders, </w:t>
      </w:r>
      <w:r w:rsidR="00114E12">
        <w:rPr>
          <w:rFonts w:ascii="Arial" w:hAnsi="Arial" w:cs="Arial"/>
          <w:sz w:val="20"/>
          <w:szCs w:val="20"/>
        </w:rPr>
        <w:t xml:space="preserve">sexual orientations, </w:t>
      </w:r>
      <w:r w:rsidR="001D5E40" w:rsidRPr="001D5E40">
        <w:rPr>
          <w:rFonts w:ascii="Arial" w:hAnsi="Arial" w:cs="Arial"/>
          <w:sz w:val="20"/>
          <w:szCs w:val="20"/>
        </w:rPr>
        <w:t>abilities, disabilities and geographic locations</w:t>
      </w:r>
      <w:r w:rsidR="00AE2036">
        <w:rPr>
          <w:rFonts w:ascii="Arial" w:hAnsi="Arial" w:cs="Arial"/>
          <w:sz w:val="20"/>
          <w:szCs w:val="20"/>
        </w:rPr>
        <w:t>.</w:t>
      </w:r>
    </w:p>
    <w:p w14:paraId="20274552" w14:textId="109BD111" w:rsidR="001D5E40" w:rsidRPr="006F5B16" w:rsidRDefault="00AE2036" w:rsidP="001D5E40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Barriers to accessing supportive housing</w:t>
      </w:r>
      <w:r w:rsidR="00114E12">
        <w:rPr>
          <w:rFonts w:ascii="Arial" w:hAnsi="Arial" w:cs="Arial"/>
          <w:sz w:val="20"/>
          <w:szCs w:val="20"/>
        </w:rPr>
        <w:t>, employment and participation</w:t>
      </w:r>
      <w:r w:rsidR="00FF4D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may exist for </w:t>
      </w:r>
      <w:proofErr w:type="gramStart"/>
      <w:r>
        <w:rPr>
          <w:rFonts w:ascii="Arial" w:hAnsi="Arial" w:cs="Arial"/>
          <w:sz w:val="20"/>
          <w:szCs w:val="20"/>
        </w:rPr>
        <w:t>particular groups</w:t>
      </w:r>
      <w:proofErr w:type="gramEnd"/>
      <w:r>
        <w:rPr>
          <w:rFonts w:ascii="Arial" w:hAnsi="Arial" w:cs="Arial"/>
          <w:sz w:val="20"/>
          <w:szCs w:val="20"/>
        </w:rPr>
        <w:t xml:space="preserve"> of eligible people are identified and addressed.</w:t>
      </w:r>
    </w:p>
    <w:p w14:paraId="356196AA" w14:textId="77777777" w:rsidR="006F5B16" w:rsidRPr="00A340D2" w:rsidRDefault="00A60946" w:rsidP="00F4118A">
      <w:pPr>
        <w:pStyle w:val="Heading2"/>
      </w:pPr>
      <w:r w:rsidRPr="00A340D2">
        <w:t>Definitions</w:t>
      </w:r>
    </w:p>
    <w:p w14:paraId="0A2847F8" w14:textId="08FCB9E0" w:rsidR="00A60946" w:rsidRDefault="00A60946" w:rsidP="006F5B16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7C3CA8">
        <w:rPr>
          <w:rFonts w:ascii="Arial" w:hAnsi="Arial" w:cs="Arial"/>
          <w:sz w:val="20"/>
          <w:szCs w:val="20"/>
          <w:u w:val="single"/>
        </w:rPr>
        <w:t>Access</w:t>
      </w:r>
      <w:r w:rsidRPr="00A60946">
        <w:rPr>
          <w:rFonts w:ascii="Arial" w:hAnsi="Arial" w:cs="Arial"/>
          <w:sz w:val="20"/>
          <w:szCs w:val="20"/>
        </w:rPr>
        <w:t xml:space="preserve"> is the process of ensuring equality of opportunity </w:t>
      </w:r>
      <w:r w:rsidR="00994C89">
        <w:rPr>
          <w:rFonts w:ascii="Arial" w:hAnsi="Arial" w:cs="Arial"/>
          <w:sz w:val="20"/>
          <w:szCs w:val="20"/>
        </w:rPr>
        <w:t>to all people in our diverse community</w:t>
      </w:r>
      <w:r w:rsidRPr="00A60946">
        <w:rPr>
          <w:rFonts w:ascii="Arial" w:hAnsi="Arial" w:cs="Arial"/>
          <w:sz w:val="20"/>
          <w:szCs w:val="20"/>
        </w:rPr>
        <w:t xml:space="preserve"> </w:t>
      </w:r>
      <w:r w:rsidR="00114E12">
        <w:rPr>
          <w:rFonts w:ascii="Arial" w:hAnsi="Arial" w:cs="Arial"/>
          <w:sz w:val="20"/>
          <w:szCs w:val="20"/>
        </w:rPr>
        <w:t>in areas essential to achieving and maintaining social, cultural and economic well-being</w:t>
      </w:r>
      <w:r w:rsidRPr="00A60946">
        <w:rPr>
          <w:rFonts w:ascii="Arial" w:hAnsi="Arial" w:cs="Arial"/>
          <w:sz w:val="20"/>
          <w:szCs w:val="20"/>
        </w:rPr>
        <w:t>.</w:t>
      </w:r>
    </w:p>
    <w:p w14:paraId="11BF9EB9" w14:textId="627388D6" w:rsidR="005F0F3B" w:rsidRPr="006F5B16" w:rsidRDefault="00A60946" w:rsidP="006F5B16">
      <w:pPr>
        <w:spacing w:line="280" w:lineRule="atLeast"/>
        <w:rPr>
          <w:rFonts w:ascii="Arial" w:hAnsi="Arial" w:cs="Arial"/>
          <w:sz w:val="20"/>
          <w:szCs w:val="20"/>
        </w:rPr>
      </w:pPr>
      <w:r w:rsidRPr="007C3CA8">
        <w:rPr>
          <w:rFonts w:ascii="Arial" w:hAnsi="Arial" w:cs="Arial"/>
          <w:sz w:val="20"/>
          <w:szCs w:val="20"/>
          <w:u w:val="single"/>
        </w:rPr>
        <w:t>Equity</w:t>
      </w:r>
      <w:r w:rsidRPr="00A60946">
        <w:rPr>
          <w:rFonts w:ascii="Arial" w:hAnsi="Arial" w:cs="Arial"/>
          <w:sz w:val="20"/>
          <w:szCs w:val="20"/>
        </w:rPr>
        <w:t xml:space="preserve"> is the process of allocating resources fairly, regardless of race, </w:t>
      </w:r>
      <w:r w:rsidR="00FF4DAE">
        <w:rPr>
          <w:rFonts w:ascii="Arial" w:hAnsi="Arial" w:cs="Arial"/>
          <w:sz w:val="20"/>
          <w:szCs w:val="20"/>
        </w:rPr>
        <w:t>nationality</w:t>
      </w:r>
      <w:r w:rsidRPr="00A60946">
        <w:rPr>
          <w:rFonts w:ascii="Arial" w:hAnsi="Arial" w:cs="Arial"/>
          <w:sz w:val="20"/>
          <w:szCs w:val="20"/>
        </w:rPr>
        <w:t xml:space="preserve">, culture, religion, </w:t>
      </w:r>
      <w:r w:rsidR="00A622FA">
        <w:rPr>
          <w:rFonts w:ascii="Arial" w:hAnsi="Arial" w:cs="Arial"/>
          <w:sz w:val="20"/>
          <w:szCs w:val="20"/>
        </w:rPr>
        <w:t>age, gender</w:t>
      </w:r>
      <w:r w:rsidRPr="00A60946">
        <w:rPr>
          <w:rFonts w:ascii="Arial" w:hAnsi="Arial" w:cs="Arial"/>
          <w:sz w:val="20"/>
          <w:szCs w:val="20"/>
        </w:rPr>
        <w:t xml:space="preserve">, </w:t>
      </w:r>
      <w:r w:rsidR="00FF4DAE">
        <w:rPr>
          <w:rFonts w:ascii="Arial" w:hAnsi="Arial" w:cs="Arial"/>
          <w:sz w:val="20"/>
          <w:szCs w:val="20"/>
        </w:rPr>
        <w:t xml:space="preserve">sexuality, </w:t>
      </w:r>
      <w:r w:rsidRPr="00A60946">
        <w:rPr>
          <w:rFonts w:ascii="Arial" w:hAnsi="Arial" w:cs="Arial"/>
          <w:sz w:val="20"/>
          <w:szCs w:val="20"/>
        </w:rPr>
        <w:t>ability or disability. ‘Equity’ does not equate with ‘same’.</w:t>
      </w:r>
    </w:p>
    <w:p w14:paraId="43CBE02B" w14:textId="05555802" w:rsidR="00A60946" w:rsidRDefault="00994C89" w:rsidP="00D004DF">
      <w:pPr>
        <w:spacing w:line="280" w:lineRule="atLeast"/>
        <w:rPr>
          <w:rFonts w:ascii="Arial" w:hAnsi="Arial" w:cs="Arial"/>
          <w:sz w:val="20"/>
          <w:szCs w:val="20"/>
        </w:rPr>
      </w:pPr>
      <w:r w:rsidRPr="005F0F3B">
        <w:rPr>
          <w:rFonts w:ascii="Arial" w:hAnsi="Arial" w:cs="Arial"/>
          <w:sz w:val="20"/>
          <w:szCs w:val="20"/>
          <w:u w:val="single"/>
        </w:rPr>
        <w:t>Equality</w:t>
      </w:r>
      <w:r>
        <w:rPr>
          <w:rFonts w:ascii="Arial" w:hAnsi="Arial" w:cs="Arial"/>
          <w:sz w:val="20"/>
          <w:szCs w:val="20"/>
        </w:rPr>
        <w:t xml:space="preserve"> affirms that all human beings are born free and equal, having the same rights and entitled to the same level of respect.</w:t>
      </w:r>
    </w:p>
    <w:p w14:paraId="7F639787" w14:textId="77777777" w:rsidR="001D5E40" w:rsidRPr="007C3CA8" w:rsidRDefault="001D5E40" w:rsidP="00F4118A">
      <w:pPr>
        <w:pStyle w:val="Heading2"/>
      </w:pPr>
      <w:r w:rsidRPr="007C3CA8">
        <w:t>Relevant Legislation</w:t>
      </w:r>
    </w:p>
    <w:p w14:paraId="2AB901F1" w14:textId="77777777" w:rsidR="008B6731" w:rsidRDefault="008B11C7" w:rsidP="008B11C7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 legislation includes:</w:t>
      </w:r>
    </w:p>
    <w:p w14:paraId="168C439C" w14:textId="77777777" w:rsidR="00B722A2" w:rsidRDefault="00B722A2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 w:rsidRPr="005D6B64">
        <w:rPr>
          <w:rFonts w:ascii="Arial" w:hAnsi="Arial" w:cs="Arial"/>
          <w:i/>
          <w:sz w:val="20"/>
          <w:szCs w:val="20"/>
        </w:rPr>
        <w:t>Age Discrimination Act 2004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Cth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1E0A6EF9" w14:textId="77777777" w:rsidR="00B722A2" w:rsidRDefault="00B722A2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 w:rsidRPr="005D6B64">
        <w:rPr>
          <w:rFonts w:ascii="Arial" w:hAnsi="Arial" w:cs="Arial"/>
          <w:i/>
          <w:sz w:val="20"/>
          <w:szCs w:val="20"/>
        </w:rPr>
        <w:t>Anti-Discrimination Act 1991</w:t>
      </w:r>
      <w:r>
        <w:rPr>
          <w:rFonts w:ascii="Arial" w:hAnsi="Arial" w:cs="Arial"/>
          <w:sz w:val="20"/>
          <w:szCs w:val="20"/>
        </w:rPr>
        <w:t xml:space="preserve"> (Qld)</w:t>
      </w:r>
    </w:p>
    <w:p w14:paraId="114FFBE2" w14:textId="77777777" w:rsidR="00B722A2" w:rsidRDefault="00B722A2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 w:rsidRPr="005D6B64">
        <w:rPr>
          <w:rFonts w:ascii="Arial" w:hAnsi="Arial" w:cs="Arial"/>
          <w:i/>
          <w:sz w:val="20"/>
          <w:szCs w:val="20"/>
        </w:rPr>
        <w:t xml:space="preserve">Australian Human Rights Commission Act 1986 </w:t>
      </w:r>
      <w:r w:rsidRPr="001D5E40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Cth</w:t>
      </w:r>
      <w:proofErr w:type="spellEnd"/>
      <w:r w:rsidRPr="001D5E40">
        <w:rPr>
          <w:rFonts w:ascii="Arial" w:hAnsi="Arial" w:cs="Arial"/>
          <w:sz w:val="20"/>
          <w:szCs w:val="20"/>
        </w:rPr>
        <w:t>)</w:t>
      </w:r>
    </w:p>
    <w:p w14:paraId="447ED422" w14:textId="77777777" w:rsidR="00B722A2" w:rsidRDefault="00B722A2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 w:rsidRPr="005D6B64">
        <w:rPr>
          <w:rFonts w:ascii="Arial" w:hAnsi="Arial" w:cs="Arial"/>
          <w:i/>
          <w:sz w:val="20"/>
          <w:szCs w:val="20"/>
        </w:rPr>
        <w:t>Disability Discrimination Act 1992</w:t>
      </w:r>
      <w:r w:rsidRPr="001D5E40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Cth</w:t>
      </w:r>
      <w:proofErr w:type="spellEnd"/>
      <w:r w:rsidRPr="001D5E40">
        <w:rPr>
          <w:rFonts w:ascii="Arial" w:hAnsi="Arial" w:cs="Arial"/>
          <w:sz w:val="20"/>
          <w:szCs w:val="20"/>
        </w:rPr>
        <w:t>)</w:t>
      </w:r>
    </w:p>
    <w:p w14:paraId="509CFDAF" w14:textId="77777777" w:rsidR="00B722A2" w:rsidRDefault="00B722A2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 w:rsidRPr="005D6B64">
        <w:rPr>
          <w:rFonts w:ascii="Arial" w:hAnsi="Arial" w:cs="Arial"/>
          <w:i/>
          <w:sz w:val="20"/>
          <w:szCs w:val="20"/>
        </w:rPr>
        <w:t>Disability Services Act 1986</w:t>
      </w:r>
      <w:r w:rsidRPr="001D5E40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Cth</w:t>
      </w:r>
      <w:proofErr w:type="spellEnd"/>
      <w:r w:rsidRPr="001D5E40">
        <w:rPr>
          <w:rFonts w:ascii="Arial" w:hAnsi="Arial" w:cs="Arial"/>
          <w:sz w:val="20"/>
          <w:szCs w:val="20"/>
        </w:rPr>
        <w:t>)</w:t>
      </w:r>
    </w:p>
    <w:p w14:paraId="31BCFA8B" w14:textId="77777777" w:rsidR="00FF4DAE" w:rsidRDefault="00FF4DAE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Sustainability and Social Responsibility Policy/Procedure (Governance System)</w:t>
      </w:r>
    </w:p>
    <w:p w14:paraId="39E4636A" w14:textId="77777777" w:rsidR="00114E12" w:rsidRDefault="00114E12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Fair Work Act 2009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Cth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09C6A6D6" w14:textId="77777777" w:rsidR="00B6268E" w:rsidRDefault="00B6268E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Information Privacy Act 2009 </w:t>
      </w:r>
      <w:r>
        <w:rPr>
          <w:rFonts w:ascii="Arial" w:hAnsi="Arial" w:cs="Arial"/>
          <w:sz w:val="20"/>
          <w:szCs w:val="20"/>
        </w:rPr>
        <w:t>(Qld)</w:t>
      </w:r>
    </w:p>
    <w:p w14:paraId="24FB249A" w14:textId="77777777" w:rsidR="00B722A2" w:rsidRDefault="00B722A2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Privacy Act 198</w:t>
      </w:r>
      <w:r w:rsidRPr="005D6B64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Cth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1B7FF03" w14:textId="77777777" w:rsidR="00B722A2" w:rsidRDefault="00B722A2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 w:rsidRPr="001D5E40">
        <w:rPr>
          <w:rFonts w:ascii="Arial" w:hAnsi="Arial" w:cs="Arial"/>
          <w:sz w:val="20"/>
          <w:szCs w:val="20"/>
        </w:rPr>
        <w:t xml:space="preserve">Queensland </w:t>
      </w:r>
      <w:r w:rsidR="00B6268E">
        <w:rPr>
          <w:rFonts w:ascii="Arial" w:hAnsi="Arial" w:cs="Arial"/>
          <w:sz w:val="20"/>
          <w:szCs w:val="20"/>
        </w:rPr>
        <w:t>Multicultural</w:t>
      </w:r>
      <w:r w:rsidRPr="001D5E40">
        <w:rPr>
          <w:rFonts w:ascii="Arial" w:hAnsi="Arial" w:cs="Arial"/>
          <w:sz w:val="20"/>
          <w:szCs w:val="20"/>
        </w:rPr>
        <w:t xml:space="preserve"> Policy</w:t>
      </w:r>
    </w:p>
    <w:p w14:paraId="1ABEF27B" w14:textId="77777777" w:rsidR="00B722A2" w:rsidRDefault="00B722A2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 w:rsidRPr="005D6B64">
        <w:rPr>
          <w:rFonts w:ascii="Arial" w:hAnsi="Arial" w:cs="Arial"/>
          <w:i/>
          <w:sz w:val="20"/>
          <w:szCs w:val="20"/>
        </w:rPr>
        <w:t>Racial Discrimination Act 1975</w:t>
      </w:r>
      <w:r w:rsidRPr="001D5E40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Cth</w:t>
      </w:r>
      <w:proofErr w:type="spellEnd"/>
      <w:r w:rsidRPr="001D5E40">
        <w:rPr>
          <w:rFonts w:ascii="Arial" w:hAnsi="Arial" w:cs="Arial"/>
          <w:sz w:val="20"/>
          <w:szCs w:val="20"/>
        </w:rPr>
        <w:t>)</w:t>
      </w:r>
    </w:p>
    <w:p w14:paraId="2A690ABD" w14:textId="77777777" w:rsidR="00B722A2" w:rsidRDefault="00B722A2" w:rsidP="00D004DF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 w:rsidRPr="005D6B64">
        <w:rPr>
          <w:rFonts w:ascii="Arial" w:hAnsi="Arial" w:cs="Arial"/>
          <w:i/>
          <w:sz w:val="20"/>
          <w:szCs w:val="20"/>
        </w:rPr>
        <w:t>Sex Discrimination Act 1984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Cth</w:t>
      </w:r>
      <w:proofErr w:type="spellEnd"/>
      <w:r w:rsidRPr="001D5E40">
        <w:rPr>
          <w:rFonts w:ascii="Arial" w:hAnsi="Arial" w:cs="Arial"/>
          <w:sz w:val="20"/>
          <w:szCs w:val="20"/>
        </w:rPr>
        <w:t>)</w:t>
      </w:r>
    </w:p>
    <w:p w14:paraId="1ACDB507" w14:textId="77777777" w:rsidR="00FF4DAE" w:rsidRDefault="00FF4DAE" w:rsidP="008B11C7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Tenant and Community Participation Procedure</w:t>
      </w:r>
    </w:p>
    <w:p w14:paraId="60A68224" w14:textId="77777777" w:rsidR="00FF4DAE" w:rsidRDefault="00FF4DAE" w:rsidP="008B11C7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Tenant Service Charter</w:t>
      </w:r>
    </w:p>
    <w:p w14:paraId="6EDB8C8C" w14:textId="77777777" w:rsidR="008B11C7" w:rsidRDefault="00B722A2" w:rsidP="008B11C7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People of Australia – Australia’s Multicultural Policy 2011(</w:t>
      </w:r>
      <w:proofErr w:type="spellStart"/>
      <w:r>
        <w:rPr>
          <w:rFonts w:ascii="Arial" w:hAnsi="Arial" w:cs="Arial"/>
          <w:sz w:val="20"/>
          <w:szCs w:val="20"/>
        </w:rPr>
        <w:t>Cth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7ABBF28" w14:textId="77777777" w:rsidR="00110ED7" w:rsidRDefault="00110ED7" w:rsidP="008B11C7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Gender Equality Act 2012 (</w:t>
      </w:r>
      <w:proofErr w:type="spellStart"/>
      <w:r>
        <w:rPr>
          <w:rFonts w:ascii="Arial" w:hAnsi="Arial" w:cs="Arial"/>
          <w:sz w:val="20"/>
          <w:szCs w:val="20"/>
        </w:rPr>
        <w:t>Cth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04B94565" w14:textId="77777777" w:rsidR="001D16BF" w:rsidRPr="007C3CA8" w:rsidRDefault="008C3D08" w:rsidP="00F4118A">
      <w:pPr>
        <w:pStyle w:val="Heading2"/>
      </w:pPr>
      <w:r w:rsidRPr="007C3CA8">
        <w:t>Procedures</w:t>
      </w:r>
      <w:r w:rsidR="001D16BF" w:rsidRPr="007C3CA8">
        <w:t xml:space="preserve"> that Implement</w:t>
      </w:r>
    </w:p>
    <w:p w14:paraId="52A7DE1A" w14:textId="77777777" w:rsidR="008B6731" w:rsidRPr="001D16BF" w:rsidRDefault="001D16BF" w:rsidP="008B11C7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policy will be actively implemented by adherence </w:t>
      </w:r>
      <w:r w:rsidR="000F2654">
        <w:rPr>
          <w:rFonts w:ascii="Arial" w:hAnsi="Arial" w:cs="Arial"/>
          <w:sz w:val="20"/>
          <w:szCs w:val="20"/>
        </w:rPr>
        <w:t>to the following</w:t>
      </w:r>
      <w:r>
        <w:rPr>
          <w:rFonts w:ascii="Arial" w:hAnsi="Arial" w:cs="Arial"/>
          <w:sz w:val="20"/>
          <w:szCs w:val="20"/>
        </w:rPr>
        <w:t xml:space="preserve"> procedur</w:t>
      </w:r>
      <w:r w:rsidR="008B11C7">
        <w:rPr>
          <w:rFonts w:ascii="Arial" w:hAnsi="Arial" w:cs="Arial"/>
          <w:sz w:val="20"/>
          <w:szCs w:val="20"/>
        </w:rPr>
        <w:t>es:</w:t>
      </w:r>
    </w:p>
    <w:p w14:paraId="0D005DF2" w14:textId="77777777" w:rsidR="00B722A2" w:rsidRDefault="00B722A2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Grievance Procedure</w:t>
      </w:r>
    </w:p>
    <w:p w14:paraId="6220BFDD" w14:textId="77777777" w:rsidR="00B722A2" w:rsidRDefault="00B722A2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Induction Procedure</w:t>
      </w:r>
    </w:p>
    <w:p w14:paraId="1D6D6EE8" w14:textId="77777777" w:rsidR="00B722A2" w:rsidRDefault="00B722A2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Performance Appraisal Procedure</w:t>
      </w:r>
    </w:p>
    <w:p w14:paraId="0A448A29" w14:textId="77777777" w:rsidR="00B722A2" w:rsidRDefault="00B722A2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Recruitment Procedure</w:t>
      </w:r>
    </w:p>
    <w:p w14:paraId="0274EC23" w14:textId="77777777" w:rsidR="00B722A2" w:rsidRDefault="00B722A2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Employee Training and Development Procedure</w:t>
      </w:r>
    </w:p>
    <w:p w14:paraId="5A93B8C1" w14:textId="77777777" w:rsidR="00B722A2" w:rsidRDefault="00B722A2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Ending a Tenancy Procedure</w:t>
      </w:r>
    </w:p>
    <w:p w14:paraId="7023AD3D" w14:textId="77777777" w:rsidR="005F0F3B" w:rsidRDefault="005F0F3B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Sustainability and Social Responsibility Policy/Procedure (Governance System)</w:t>
      </w:r>
    </w:p>
    <w:p w14:paraId="23B9E7EF" w14:textId="77777777" w:rsidR="006C4084" w:rsidRDefault="006C4084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Privacy and Confidentiality Procedure</w:t>
      </w:r>
    </w:p>
    <w:p w14:paraId="2E038F85" w14:textId="77777777" w:rsidR="006C4084" w:rsidRDefault="006C4084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Referrals Procedure</w:t>
      </w:r>
    </w:p>
    <w:p w14:paraId="59A5B708" w14:textId="77777777" w:rsidR="005F0F3B" w:rsidRDefault="005F0F3B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Tenant and Community Participation Procedure</w:t>
      </w:r>
    </w:p>
    <w:p w14:paraId="456BA651" w14:textId="77777777" w:rsidR="00B722A2" w:rsidRDefault="00B722A2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Tenant Selection Procedure</w:t>
      </w:r>
    </w:p>
    <w:p w14:paraId="4DD8474B" w14:textId="77777777" w:rsidR="005F0F3B" w:rsidRDefault="005F0F3B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Tenant Service Charter</w:t>
      </w:r>
    </w:p>
    <w:p w14:paraId="7D33E83A" w14:textId="77777777" w:rsidR="00B722A2" w:rsidRPr="00CD19FA" w:rsidRDefault="00B722A2" w:rsidP="001D2C9C">
      <w:pPr>
        <w:numPr>
          <w:ilvl w:val="0"/>
          <w:numId w:val="13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Tenant Transfer Procedure</w:t>
      </w:r>
    </w:p>
    <w:sectPr w:rsidR="00B722A2" w:rsidRPr="00CD19FA" w:rsidSect="002113D5">
      <w:headerReference w:type="default" r:id="rId10"/>
      <w:footerReference w:type="default" r:id="rId11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B6DE" w14:textId="77777777" w:rsidR="009D221B" w:rsidRDefault="009D221B" w:rsidP="00A75521">
      <w:pPr>
        <w:pStyle w:val="Header"/>
      </w:pPr>
      <w:r>
        <w:separator/>
      </w:r>
    </w:p>
  </w:endnote>
  <w:endnote w:type="continuationSeparator" w:id="0">
    <w:p w14:paraId="5B066053" w14:textId="77777777" w:rsidR="009D221B" w:rsidRDefault="009D221B" w:rsidP="00A7552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2137" w14:textId="647D0C1B" w:rsidR="00EE5397" w:rsidRPr="00BC01F0" w:rsidRDefault="00EE5397" w:rsidP="00C43994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72"/>
      </w:tabs>
      <w:rPr>
        <w:rFonts w:ascii="Arial" w:hAnsi="Arial" w:cs="Arial"/>
        <w:sz w:val="16"/>
        <w:szCs w:val="16"/>
      </w:rPr>
    </w:pP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FILENAME </w:instrText>
    </w:r>
    <w:r w:rsidRPr="00BC01F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Access and Equity Policy</w:t>
    </w:r>
    <w:r w:rsidRPr="00BC01F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– v</w:t>
    </w:r>
    <w:r w:rsidR="004540B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C01F0">
      <w:rPr>
        <w:rFonts w:ascii="Arial" w:hAnsi="Arial" w:cs="Arial"/>
        <w:sz w:val="16"/>
        <w:szCs w:val="16"/>
      </w:rPr>
      <w:t xml:space="preserve">Page </w:t>
    </w: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PAGE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F90DE5">
      <w:rPr>
        <w:rFonts w:ascii="Arial" w:hAnsi="Arial" w:cs="Arial"/>
        <w:noProof/>
        <w:sz w:val="16"/>
        <w:szCs w:val="16"/>
      </w:rPr>
      <w:t>1</w:t>
    </w:r>
    <w:r w:rsidRPr="00BC01F0">
      <w:rPr>
        <w:rFonts w:ascii="Arial" w:hAnsi="Arial" w:cs="Arial"/>
        <w:sz w:val="16"/>
        <w:szCs w:val="16"/>
      </w:rPr>
      <w:fldChar w:fldCharType="end"/>
    </w:r>
    <w:r w:rsidRPr="00BC01F0">
      <w:rPr>
        <w:rFonts w:ascii="Arial" w:hAnsi="Arial" w:cs="Arial"/>
        <w:sz w:val="16"/>
        <w:szCs w:val="16"/>
      </w:rPr>
      <w:t xml:space="preserve"> of </w:t>
    </w: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NUMPAGES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F90DE5">
      <w:rPr>
        <w:rFonts w:ascii="Arial" w:hAnsi="Arial" w:cs="Arial"/>
        <w:noProof/>
        <w:sz w:val="16"/>
        <w:szCs w:val="16"/>
      </w:rPr>
      <w:t>2</w:t>
    </w:r>
    <w:r w:rsidRPr="00BC01F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E130" w14:textId="77777777" w:rsidR="009D221B" w:rsidRDefault="009D221B" w:rsidP="00A75521">
      <w:pPr>
        <w:pStyle w:val="Header"/>
      </w:pPr>
      <w:r>
        <w:separator/>
      </w:r>
    </w:p>
  </w:footnote>
  <w:footnote w:type="continuationSeparator" w:id="0">
    <w:p w14:paraId="2A67B5C8" w14:textId="77777777" w:rsidR="009D221B" w:rsidRDefault="009D221B" w:rsidP="00A7552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12"/>
      <w:gridCol w:w="2376"/>
    </w:tblGrid>
    <w:tr w:rsidR="001A0FCD" w:rsidRPr="0002059B" w14:paraId="0DAE30FF" w14:textId="77777777" w:rsidTr="00DC6E09">
      <w:tc>
        <w:tcPr>
          <w:tcW w:w="6912" w:type="dxa"/>
          <w:shd w:val="clear" w:color="auto" w:fill="auto"/>
        </w:tcPr>
        <w:p w14:paraId="4F5F4C8A" w14:textId="77777777" w:rsidR="001A0FCD" w:rsidRPr="0002059B" w:rsidRDefault="001A0FCD" w:rsidP="001A0FCD">
          <w:pPr>
            <w:pStyle w:val="Header"/>
            <w:tabs>
              <w:tab w:val="clear" w:pos="4153"/>
              <w:tab w:val="clear" w:pos="8306"/>
            </w:tabs>
            <w:spacing w:before="120"/>
            <w:rPr>
              <w:rFonts w:ascii="Arial" w:hAnsi="Arial" w:cs="Arial"/>
            </w:rPr>
          </w:pPr>
          <w:r w:rsidRPr="0002059B">
            <w:rPr>
              <w:rFonts w:ascii="Arial" w:hAnsi="Arial" w:cs="Arial"/>
            </w:rPr>
            <w:t>Management System</w:t>
          </w:r>
        </w:p>
        <w:p w14:paraId="1608277F" w14:textId="77777777" w:rsidR="001A0FCD" w:rsidRPr="0002059B" w:rsidRDefault="001A0FCD" w:rsidP="001A0FCD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</w:p>
        <w:p w14:paraId="51DFF30D" w14:textId="27FB8B59" w:rsidR="001A0FCD" w:rsidRPr="0002059B" w:rsidRDefault="001A0FCD" w:rsidP="001A0FCD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Policy</w:t>
          </w:r>
        </w:p>
      </w:tc>
      <w:tc>
        <w:tcPr>
          <w:tcW w:w="2376" w:type="dxa"/>
          <w:shd w:val="clear" w:color="auto" w:fill="auto"/>
        </w:tcPr>
        <w:p w14:paraId="177C113E" w14:textId="340595A0" w:rsidR="001A0FCD" w:rsidRPr="0002059B" w:rsidRDefault="001A0FCD" w:rsidP="001A0FCD">
          <w:pPr>
            <w:pStyle w:val="Header"/>
            <w:tabs>
              <w:tab w:val="clear" w:pos="4153"/>
              <w:tab w:val="clear" w:pos="8306"/>
              <w:tab w:val="right" w:pos="4991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5CE1DF1" wp14:editId="558D97CE">
                <wp:extent cx="1419225" cy="771525"/>
                <wp:effectExtent l="0" t="0" r="9525" b="952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DAFF74" w14:textId="3716EEA6" w:rsidR="00EE5397" w:rsidRPr="00CD19FA" w:rsidRDefault="00EE5397" w:rsidP="00D91EEC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FFD"/>
    <w:multiLevelType w:val="multilevel"/>
    <w:tmpl w:val="16960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6AC5"/>
    <w:multiLevelType w:val="multilevel"/>
    <w:tmpl w:val="C5F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B1273"/>
    <w:multiLevelType w:val="hybridMultilevel"/>
    <w:tmpl w:val="10583D24"/>
    <w:lvl w:ilvl="0" w:tplc="29F8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585"/>
    <w:multiLevelType w:val="hybridMultilevel"/>
    <w:tmpl w:val="C84ED346"/>
    <w:lvl w:ilvl="0" w:tplc="70665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6513"/>
    <w:multiLevelType w:val="hybridMultilevel"/>
    <w:tmpl w:val="9C12C9BC"/>
    <w:lvl w:ilvl="0" w:tplc="B06EF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13C8"/>
    <w:multiLevelType w:val="multilevel"/>
    <w:tmpl w:val="C84ED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232E"/>
    <w:multiLevelType w:val="multilevel"/>
    <w:tmpl w:val="87BCD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247FC"/>
    <w:multiLevelType w:val="hybridMultilevel"/>
    <w:tmpl w:val="8EA6E6A0"/>
    <w:lvl w:ilvl="0" w:tplc="77009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27042"/>
    <w:multiLevelType w:val="multilevel"/>
    <w:tmpl w:val="1058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3150"/>
    <w:multiLevelType w:val="multilevel"/>
    <w:tmpl w:val="9736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7705F"/>
    <w:multiLevelType w:val="hybridMultilevel"/>
    <w:tmpl w:val="97365CAE"/>
    <w:lvl w:ilvl="0" w:tplc="0D862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B175F"/>
    <w:multiLevelType w:val="hybridMultilevel"/>
    <w:tmpl w:val="87BCD6FC"/>
    <w:lvl w:ilvl="0" w:tplc="6504E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1D63"/>
    <w:multiLevelType w:val="hybridMultilevel"/>
    <w:tmpl w:val="16960166"/>
    <w:lvl w:ilvl="0" w:tplc="0D862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C5F1F"/>
    <w:multiLevelType w:val="hybridMultilevel"/>
    <w:tmpl w:val="076E804E"/>
    <w:lvl w:ilvl="0" w:tplc="199E30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A"/>
    <w:rsid w:val="00030B67"/>
    <w:rsid w:val="000540C1"/>
    <w:rsid w:val="00072270"/>
    <w:rsid w:val="000D6232"/>
    <w:rsid w:val="000F2654"/>
    <w:rsid w:val="000F5833"/>
    <w:rsid w:val="00110ED7"/>
    <w:rsid w:val="00114E12"/>
    <w:rsid w:val="0012212C"/>
    <w:rsid w:val="001303D7"/>
    <w:rsid w:val="001315D1"/>
    <w:rsid w:val="00140EEB"/>
    <w:rsid w:val="001657A8"/>
    <w:rsid w:val="00174A2E"/>
    <w:rsid w:val="001A0FCD"/>
    <w:rsid w:val="001C3D6A"/>
    <w:rsid w:val="001D16BF"/>
    <w:rsid w:val="001D2C9C"/>
    <w:rsid w:val="001D5E40"/>
    <w:rsid w:val="00200A0D"/>
    <w:rsid w:val="002113D5"/>
    <w:rsid w:val="002278BD"/>
    <w:rsid w:val="00232318"/>
    <w:rsid w:val="002828E3"/>
    <w:rsid w:val="002A5A40"/>
    <w:rsid w:val="002E1E10"/>
    <w:rsid w:val="00300E69"/>
    <w:rsid w:val="00311878"/>
    <w:rsid w:val="003572CC"/>
    <w:rsid w:val="003761F0"/>
    <w:rsid w:val="00390BED"/>
    <w:rsid w:val="004068A2"/>
    <w:rsid w:val="00420758"/>
    <w:rsid w:val="00424C4B"/>
    <w:rsid w:val="00443763"/>
    <w:rsid w:val="004540BD"/>
    <w:rsid w:val="00470EA9"/>
    <w:rsid w:val="004911C5"/>
    <w:rsid w:val="00515F97"/>
    <w:rsid w:val="00516125"/>
    <w:rsid w:val="00535129"/>
    <w:rsid w:val="00556851"/>
    <w:rsid w:val="005A516D"/>
    <w:rsid w:val="005B5F24"/>
    <w:rsid w:val="005D4A0F"/>
    <w:rsid w:val="005D6B64"/>
    <w:rsid w:val="005F0F3B"/>
    <w:rsid w:val="005F1579"/>
    <w:rsid w:val="005F5953"/>
    <w:rsid w:val="005F7A00"/>
    <w:rsid w:val="0061350B"/>
    <w:rsid w:val="00617018"/>
    <w:rsid w:val="00617233"/>
    <w:rsid w:val="00662A18"/>
    <w:rsid w:val="00663739"/>
    <w:rsid w:val="006667A0"/>
    <w:rsid w:val="006736CF"/>
    <w:rsid w:val="00693C02"/>
    <w:rsid w:val="006A043C"/>
    <w:rsid w:val="006B7394"/>
    <w:rsid w:val="006C4084"/>
    <w:rsid w:val="006F5B16"/>
    <w:rsid w:val="00770990"/>
    <w:rsid w:val="00777CE0"/>
    <w:rsid w:val="00787751"/>
    <w:rsid w:val="00790798"/>
    <w:rsid w:val="007C3CA8"/>
    <w:rsid w:val="007D1B69"/>
    <w:rsid w:val="007E551C"/>
    <w:rsid w:val="007F40FD"/>
    <w:rsid w:val="00812B7C"/>
    <w:rsid w:val="00822094"/>
    <w:rsid w:val="008626FE"/>
    <w:rsid w:val="00866455"/>
    <w:rsid w:val="008A33BA"/>
    <w:rsid w:val="008A6B3F"/>
    <w:rsid w:val="008B11C7"/>
    <w:rsid w:val="008B6731"/>
    <w:rsid w:val="008C3D08"/>
    <w:rsid w:val="008D0B85"/>
    <w:rsid w:val="008F091C"/>
    <w:rsid w:val="0090394F"/>
    <w:rsid w:val="00922C3E"/>
    <w:rsid w:val="0095473C"/>
    <w:rsid w:val="00974CE0"/>
    <w:rsid w:val="00994C89"/>
    <w:rsid w:val="009A131E"/>
    <w:rsid w:val="009C1DAA"/>
    <w:rsid w:val="009D221B"/>
    <w:rsid w:val="009D74B1"/>
    <w:rsid w:val="009E0F3A"/>
    <w:rsid w:val="009F2382"/>
    <w:rsid w:val="00A2643A"/>
    <w:rsid w:val="00A27A70"/>
    <w:rsid w:val="00A340D2"/>
    <w:rsid w:val="00A53D21"/>
    <w:rsid w:val="00A60946"/>
    <w:rsid w:val="00A622FA"/>
    <w:rsid w:val="00A75521"/>
    <w:rsid w:val="00A87E0F"/>
    <w:rsid w:val="00AA5A40"/>
    <w:rsid w:val="00AE2036"/>
    <w:rsid w:val="00B358DD"/>
    <w:rsid w:val="00B43185"/>
    <w:rsid w:val="00B6268E"/>
    <w:rsid w:val="00B722A2"/>
    <w:rsid w:val="00B838C3"/>
    <w:rsid w:val="00BB27D0"/>
    <w:rsid w:val="00BB57A6"/>
    <w:rsid w:val="00BC01F0"/>
    <w:rsid w:val="00BF2B4B"/>
    <w:rsid w:val="00C13008"/>
    <w:rsid w:val="00C146A5"/>
    <w:rsid w:val="00C14B77"/>
    <w:rsid w:val="00C2486A"/>
    <w:rsid w:val="00C43994"/>
    <w:rsid w:val="00C519D1"/>
    <w:rsid w:val="00C603AE"/>
    <w:rsid w:val="00C858D5"/>
    <w:rsid w:val="00C920B1"/>
    <w:rsid w:val="00CC2C86"/>
    <w:rsid w:val="00CD19FA"/>
    <w:rsid w:val="00D004DF"/>
    <w:rsid w:val="00D61A6F"/>
    <w:rsid w:val="00D91EEC"/>
    <w:rsid w:val="00DC7635"/>
    <w:rsid w:val="00DD2EBC"/>
    <w:rsid w:val="00DE342F"/>
    <w:rsid w:val="00E05E68"/>
    <w:rsid w:val="00E20BBD"/>
    <w:rsid w:val="00E66035"/>
    <w:rsid w:val="00E66CE2"/>
    <w:rsid w:val="00E83F5C"/>
    <w:rsid w:val="00E91FA7"/>
    <w:rsid w:val="00E94C62"/>
    <w:rsid w:val="00EC3956"/>
    <w:rsid w:val="00EE5397"/>
    <w:rsid w:val="00EE7BAE"/>
    <w:rsid w:val="00EF77C5"/>
    <w:rsid w:val="00F0221B"/>
    <w:rsid w:val="00F06951"/>
    <w:rsid w:val="00F22C45"/>
    <w:rsid w:val="00F4118A"/>
    <w:rsid w:val="00F42487"/>
    <w:rsid w:val="00F90DE5"/>
    <w:rsid w:val="00F9373A"/>
    <w:rsid w:val="00FD4F5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F1277"/>
  <w15:chartTrackingRefBased/>
  <w15:docId w15:val="{86325446-C06C-49CA-838F-E94ED6E8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6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62A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82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19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9F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C3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3956"/>
  </w:style>
  <w:style w:type="paragraph" w:styleId="CommentSubject">
    <w:name w:val="annotation subject"/>
    <w:basedOn w:val="CommentText"/>
    <w:next w:val="CommentText"/>
    <w:link w:val="CommentSubjectChar"/>
    <w:rsid w:val="00EC3956"/>
    <w:rPr>
      <w:b/>
      <w:bCs/>
    </w:rPr>
  </w:style>
  <w:style w:type="character" w:customStyle="1" w:styleId="CommentSubjectChar">
    <w:name w:val="Comment Subject Char"/>
    <w:link w:val="CommentSubject"/>
    <w:rsid w:val="00EC3956"/>
    <w:rPr>
      <w:b/>
      <w:bCs/>
    </w:rPr>
  </w:style>
  <w:style w:type="paragraph" w:styleId="BalloonText">
    <w:name w:val="Balloon Text"/>
    <w:basedOn w:val="Normal"/>
    <w:link w:val="BalloonTextChar"/>
    <w:rsid w:val="00EC3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67"/>
    <w:pPr>
      <w:ind w:left="720"/>
    </w:pPr>
  </w:style>
  <w:style w:type="paragraph" w:customStyle="1" w:styleId="CGQHeading">
    <w:name w:val="CGQ Heading"/>
    <w:basedOn w:val="Header"/>
    <w:link w:val="CGQHeadingChar"/>
    <w:rsid w:val="006F5B16"/>
    <w:rPr>
      <w:rFonts w:ascii="Arial" w:hAnsi="Arial" w:cs="Arial"/>
    </w:rPr>
  </w:style>
  <w:style w:type="paragraph" w:customStyle="1" w:styleId="CGQSubheading">
    <w:name w:val="CGQ Subheading"/>
    <w:basedOn w:val="Normal"/>
    <w:link w:val="CGQSubheadingChar"/>
    <w:rsid w:val="006F5B16"/>
    <w:pPr>
      <w:spacing w:after="120" w:line="280" w:lineRule="atLeast"/>
    </w:pPr>
    <w:rPr>
      <w:rFonts w:ascii="Arial" w:hAnsi="Arial" w:cs="Arial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5B16"/>
    <w:rPr>
      <w:sz w:val="24"/>
      <w:szCs w:val="24"/>
    </w:rPr>
  </w:style>
  <w:style w:type="character" w:customStyle="1" w:styleId="CGQHeadingChar">
    <w:name w:val="CGQ Heading Char"/>
    <w:basedOn w:val="HeaderChar"/>
    <w:link w:val="CGQHeading"/>
    <w:rsid w:val="006F5B16"/>
    <w:rPr>
      <w:rFonts w:ascii="Arial" w:hAnsi="Arial" w:cs="Arial"/>
      <w:sz w:val="24"/>
      <w:szCs w:val="24"/>
    </w:rPr>
  </w:style>
  <w:style w:type="character" w:customStyle="1" w:styleId="CGQSubheadingChar">
    <w:name w:val="CGQ Subheading Char"/>
    <w:basedOn w:val="DefaultParagraphFont"/>
    <w:link w:val="CGQSubheading"/>
    <w:rsid w:val="006F5B16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3761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76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6667A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2A1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828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D81CF50400842823902D055956492" ma:contentTypeVersion="11" ma:contentTypeDescription="Create a new document." ma:contentTypeScope="" ma:versionID="c84501f6bd5e7a7f6ab667342d865b96">
  <xsd:schema xmlns:xsd="http://www.w3.org/2001/XMLSchema" xmlns:xs="http://www.w3.org/2001/XMLSchema" xmlns:p="http://schemas.microsoft.com/office/2006/metadata/properties" xmlns:ns2="660c5c05-d9db-4dac-919e-33fa97c2c359" targetNamespace="http://schemas.microsoft.com/office/2006/metadata/properties" ma:root="true" ma:fieldsID="bfc8f52565de1b854a342354ec186cf6" ns2:_="">
    <xsd:import namespace="660c5c05-d9db-4dac-919e-33fa97c2c359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c5c05-d9db-4dac-919e-33fa97c2c359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8A6B4-3D58-4C76-92C2-7444ABCC6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7D192-E984-4781-899A-A4BF6CF77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E368B-E16D-45F8-9402-95E9F3C8A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c5c05-d9db-4dac-919e-33fa97c2c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MICAH Projects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dan.cosgrove</dc:creator>
  <cp:keywords/>
  <cp:lastModifiedBy>Stevie Ackerman</cp:lastModifiedBy>
  <cp:revision>24</cp:revision>
  <cp:lastPrinted>2010-09-29T06:22:00Z</cp:lastPrinted>
  <dcterms:created xsi:type="dcterms:W3CDTF">2022-02-21T23:38:00Z</dcterms:created>
  <dcterms:modified xsi:type="dcterms:W3CDTF">2022-04-04T03:49:00Z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0x0101007F8D81CF50400842823902D055956492</vt:lpwstr>
  </property>
</Properties>
</file>